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F946" w14:textId="3E549D79" w:rsidR="00770767" w:rsidRPr="009C0318" w:rsidRDefault="009C0318" w:rsidP="009C0318">
      <w:pPr>
        <w:pStyle w:val="Title"/>
        <w:spacing w:line="264" w:lineRule="auto"/>
        <w:rPr>
          <w:u w:val="single"/>
        </w:rPr>
      </w:pPr>
      <w:r w:rsidRPr="009C0318">
        <w:rPr>
          <w:u w:val="single"/>
        </w:rPr>
        <w:t>Erewash Borough</w:t>
      </w:r>
      <w:r w:rsidR="00840B05">
        <w:rPr>
          <w:u w:val="single"/>
        </w:rPr>
        <w:t xml:space="preserve"> Council</w:t>
      </w:r>
    </w:p>
    <w:p w14:paraId="5983B0D8" w14:textId="19C8C24F" w:rsidR="009C0318" w:rsidRPr="009C0318" w:rsidRDefault="00840B05" w:rsidP="009C0318">
      <w:pPr>
        <w:pStyle w:val="Title"/>
        <w:spacing w:line="264" w:lineRule="auto"/>
        <w:rPr>
          <w:u w:val="single"/>
        </w:rPr>
      </w:pPr>
      <w:r>
        <w:rPr>
          <w:u w:val="single"/>
        </w:rPr>
        <w:t>Erewash Five Y</w:t>
      </w:r>
      <w:r w:rsidR="009C0318" w:rsidRPr="009C0318">
        <w:rPr>
          <w:u w:val="single"/>
        </w:rPr>
        <w:t>ear Housing Land Supply Position Paper</w:t>
      </w:r>
      <w:r w:rsidR="00FB19A3">
        <w:rPr>
          <w:u w:val="single"/>
        </w:rPr>
        <w:t xml:space="preserve"> – November 2022</w:t>
      </w:r>
    </w:p>
    <w:p w14:paraId="2C243413" w14:textId="77777777" w:rsidR="009C0318" w:rsidRDefault="009C0318" w:rsidP="009C0318">
      <w:pPr>
        <w:pStyle w:val="Heading1"/>
      </w:pPr>
    </w:p>
    <w:p w14:paraId="03EE7C12" w14:textId="77777777" w:rsidR="009C0318" w:rsidRDefault="009C0318" w:rsidP="009C0318">
      <w:pPr>
        <w:pStyle w:val="Heading1"/>
      </w:pPr>
      <w:r>
        <w:t>Executive summary:</w:t>
      </w:r>
    </w:p>
    <w:p w14:paraId="6F1A76BC" w14:textId="77777777" w:rsidR="009C0318" w:rsidRDefault="009C0318" w:rsidP="009C0318"/>
    <w:p w14:paraId="6549ECFA" w14:textId="77777777" w:rsidR="007F01B5" w:rsidRDefault="009C0318" w:rsidP="009C0318">
      <w:pPr>
        <w:ind w:left="720" w:hanging="720"/>
      </w:pPr>
      <w:r>
        <w:t>1.</w:t>
      </w:r>
      <w:r>
        <w:tab/>
        <w:t>This Position Paper sets out a five-year housing land supply position for</w:t>
      </w:r>
      <w:r w:rsidR="007F01B5">
        <w:t xml:space="preserve"> the Borough of</w:t>
      </w:r>
      <w:r>
        <w:t xml:space="preserve"> Erewash as at April 2022. It takes account of updated evidence for individual development sites that have been included and assessed within the Erewash 2022 Strategic Housing Land Availability Assessment (SHLAA). The position is also guided by residential land monitoring</w:t>
      </w:r>
      <w:r w:rsidR="007F01B5">
        <w:t xml:space="preserve"> activities</w:t>
      </w:r>
      <w:r>
        <w:t xml:space="preserve"> undertaken by the Council’s Planning Policy team. The five-year period covered in this report is from 2022-23 to</w:t>
      </w:r>
      <w:r w:rsidR="007F01B5">
        <w:t xml:space="preserve"> 2026-27.</w:t>
      </w:r>
    </w:p>
    <w:p w14:paraId="60151533" w14:textId="77777777" w:rsidR="007F01B5" w:rsidRDefault="007F01B5" w:rsidP="009C0318">
      <w:pPr>
        <w:ind w:left="720" w:hanging="720"/>
      </w:pPr>
    </w:p>
    <w:p w14:paraId="23DB3253" w14:textId="2F04F2CC" w:rsidR="007F01B5" w:rsidRDefault="007F01B5" w:rsidP="009C0318">
      <w:pPr>
        <w:ind w:left="720" w:hanging="720"/>
      </w:pPr>
      <w:r>
        <w:t>2.</w:t>
      </w:r>
      <w:r>
        <w:tab/>
        <w:t xml:space="preserve">The Borough’s Local Housing Need (LHN) target over five years is </w:t>
      </w:r>
      <w:r w:rsidR="00D504DA">
        <w:rPr>
          <w:b/>
          <w:u w:val="single"/>
        </w:rPr>
        <w:t>2,316</w:t>
      </w:r>
      <w:r w:rsidRPr="007839E0">
        <w:rPr>
          <w:b/>
          <w:u w:val="single"/>
        </w:rPr>
        <w:t xml:space="preserve"> dwellings</w:t>
      </w:r>
      <w:r>
        <w:t xml:space="preserve"> as at April 2022. The Council’s estimate of deliverable supply is </w:t>
      </w:r>
      <w:r w:rsidR="00BB3C39">
        <w:rPr>
          <w:b/>
          <w:u w:val="single"/>
        </w:rPr>
        <w:t>2,</w:t>
      </w:r>
      <w:r w:rsidR="00840B05">
        <w:rPr>
          <w:b/>
          <w:u w:val="single"/>
        </w:rPr>
        <w:t>4</w:t>
      </w:r>
      <w:r w:rsidR="00BB3C39">
        <w:rPr>
          <w:b/>
          <w:u w:val="single"/>
        </w:rPr>
        <w:t>08</w:t>
      </w:r>
      <w:r w:rsidRPr="007839E0">
        <w:rPr>
          <w:b/>
          <w:u w:val="single"/>
        </w:rPr>
        <w:t xml:space="preserve"> dwellings</w:t>
      </w:r>
      <w:r w:rsidR="00BB3C39">
        <w:t xml:space="preserve">. This equates to a </w:t>
      </w:r>
      <w:r w:rsidR="00840B05">
        <w:rPr>
          <w:b/>
          <w:u w:val="single"/>
        </w:rPr>
        <w:t>5.2</w:t>
      </w:r>
      <w:r w:rsidRPr="00BB3C39">
        <w:rPr>
          <w:b/>
          <w:u w:val="single"/>
        </w:rPr>
        <w:t xml:space="preserve"> year supply</w:t>
      </w:r>
      <w:r>
        <w:t xml:space="preserve"> and represents an </w:t>
      </w:r>
      <w:r w:rsidR="005F2286">
        <w:t>oversupply</w:t>
      </w:r>
      <w:r>
        <w:t xml:space="preserve"> a</w:t>
      </w:r>
      <w:r w:rsidR="00BB3C39">
        <w:t>gainst the LHN</w:t>
      </w:r>
      <w:r w:rsidR="00840B05">
        <w:t>-derived housing</w:t>
      </w:r>
      <w:r w:rsidR="00BB3C39">
        <w:t xml:space="preserve"> requirement of </w:t>
      </w:r>
      <w:r w:rsidR="00D504DA">
        <w:rPr>
          <w:b/>
          <w:u w:val="single"/>
        </w:rPr>
        <w:t>92</w:t>
      </w:r>
      <w:r w:rsidRPr="00BB3C39">
        <w:rPr>
          <w:b/>
          <w:u w:val="single"/>
        </w:rPr>
        <w:t xml:space="preserve"> dwellings</w:t>
      </w:r>
      <w:r>
        <w:t>.</w:t>
      </w:r>
    </w:p>
    <w:p w14:paraId="2B266A1A" w14:textId="77777777" w:rsidR="007F01B5" w:rsidRDefault="007F01B5" w:rsidP="009C0318">
      <w:pPr>
        <w:ind w:left="720" w:hanging="720"/>
      </w:pPr>
    </w:p>
    <w:p w14:paraId="7BC13A03" w14:textId="48A2EE93" w:rsidR="007F01B5" w:rsidRDefault="007F01B5" w:rsidP="009C0318">
      <w:pPr>
        <w:ind w:left="720" w:hanging="720"/>
      </w:pPr>
      <w:r>
        <w:t>3.</w:t>
      </w:r>
      <w:r>
        <w:tab/>
        <w:t>This position statement</w:t>
      </w:r>
      <w:r w:rsidR="00BB3C39">
        <w:t xml:space="preserve"> </w:t>
      </w:r>
      <w:r>
        <w:t>confirm</w:t>
      </w:r>
      <w:r w:rsidR="00BB3C39">
        <w:t>s</w:t>
      </w:r>
      <w:r>
        <w:t xml:space="preserve"> </w:t>
      </w:r>
      <w:r w:rsidR="00BB3C39">
        <w:t xml:space="preserve">that </w:t>
      </w:r>
      <w:r>
        <w:t>the Council</w:t>
      </w:r>
      <w:r w:rsidR="00BB3C39">
        <w:t xml:space="preserve"> </w:t>
      </w:r>
      <w:r w:rsidR="00A9161D">
        <w:t>is</w:t>
      </w:r>
      <w:r w:rsidR="00BB3C39">
        <w:t xml:space="preserve"> currently</w:t>
      </w:r>
      <w:r w:rsidR="00A9161D">
        <w:t xml:space="preserve"> able to</w:t>
      </w:r>
      <w:r w:rsidR="00BB3C39">
        <w:t xml:space="preserve"> demonstrate </w:t>
      </w:r>
      <w:r>
        <w:t>a five-year supply of deliverable housing land.</w:t>
      </w:r>
    </w:p>
    <w:p w14:paraId="3EDB8BBD" w14:textId="386039DA" w:rsidR="007F01B5" w:rsidRDefault="007F01B5" w:rsidP="009C0318">
      <w:pPr>
        <w:ind w:left="720" w:hanging="720"/>
      </w:pPr>
    </w:p>
    <w:p w14:paraId="5E9843B3" w14:textId="77777777" w:rsidR="00C362D0" w:rsidRDefault="00C362D0" w:rsidP="009C0318">
      <w:pPr>
        <w:ind w:left="720" w:hanging="720"/>
      </w:pPr>
    </w:p>
    <w:p w14:paraId="078C94E0" w14:textId="77777777" w:rsidR="007F01B5" w:rsidRDefault="007F01B5" w:rsidP="007F01B5">
      <w:pPr>
        <w:pStyle w:val="Heading1"/>
      </w:pPr>
      <w:r>
        <w:t>The Five-year housing supply target:</w:t>
      </w:r>
    </w:p>
    <w:p w14:paraId="3738063B" w14:textId="77777777" w:rsidR="007F01B5" w:rsidRDefault="007F01B5" w:rsidP="007F01B5">
      <w:pPr>
        <w:pStyle w:val="Heading1"/>
      </w:pPr>
    </w:p>
    <w:p w14:paraId="7B53C964" w14:textId="77777777" w:rsidR="0000381F" w:rsidRDefault="007F01B5" w:rsidP="007F01B5">
      <w:pPr>
        <w:ind w:left="720" w:hanging="720"/>
      </w:pPr>
      <w:r>
        <w:t>4.</w:t>
      </w:r>
      <w:r>
        <w:tab/>
      </w:r>
      <w:r w:rsidR="0032266B">
        <w:t>Paragraph 74</w:t>
      </w:r>
      <w:r>
        <w:t xml:space="preserve"> of the National Planning Policy Framework (NPPF) states that ‘Local planning authorities </w:t>
      </w:r>
      <w:r w:rsidR="0000381F">
        <w:t>should identify and update annually a supply of deliverable sites sufficient to provide a minimum of five years’ worth of housing against their housing requirement set out in adopted strategic policies, or against their local housing needs where the strategic policies are more than five years old.</w:t>
      </w:r>
    </w:p>
    <w:p w14:paraId="5861F7DD" w14:textId="77777777" w:rsidR="0000381F" w:rsidRDefault="0000381F" w:rsidP="007F01B5">
      <w:pPr>
        <w:ind w:left="720" w:hanging="720"/>
      </w:pPr>
    </w:p>
    <w:p w14:paraId="416EC0E9" w14:textId="77777777" w:rsidR="009C0318" w:rsidRDefault="0000381F" w:rsidP="007F01B5">
      <w:pPr>
        <w:ind w:left="720" w:hanging="720"/>
      </w:pPr>
      <w:r>
        <w:t>5.</w:t>
      </w:r>
      <w:r>
        <w:tab/>
        <w:t xml:space="preserve">The Borough’s housing requirements are presented by the Erewash Core Strategy (2011-28) which was adopted on </w:t>
      </w:r>
      <w:r w:rsidRPr="00FC6013">
        <w:rPr>
          <w:b/>
          <w:bCs/>
        </w:rPr>
        <w:t>March 6</w:t>
      </w:r>
      <w:r w:rsidRPr="00FC6013">
        <w:rPr>
          <w:b/>
          <w:bCs/>
          <w:vertAlign w:val="superscript"/>
        </w:rPr>
        <w:t>th</w:t>
      </w:r>
      <w:r w:rsidRPr="00FC6013">
        <w:rPr>
          <w:b/>
          <w:bCs/>
        </w:rPr>
        <w:t xml:space="preserve"> 2014</w:t>
      </w:r>
      <w:r>
        <w:t>. The housing requirement over the pla</w:t>
      </w:r>
      <w:r w:rsidR="00DF78AD">
        <w:t>n period is</w:t>
      </w:r>
      <w:r>
        <w:t xml:space="preserve"> 6,250 dwellings with an annual requirement to deliver 368 dwellings per annum. As the Core </w:t>
      </w:r>
      <w:r w:rsidR="005439CF">
        <w:t>Strategy has now exceeded five years since its adoption, the Borough’s housing requirements are now</w:t>
      </w:r>
      <w:r w:rsidR="00DF78AD">
        <w:t xml:space="preserve"> alternatively</w:t>
      </w:r>
      <w:r w:rsidR="005439CF">
        <w:t xml:space="preserve"> based on the Local Housing Need (LHN).</w:t>
      </w:r>
    </w:p>
    <w:p w14:paraId="50EB8C80" w14:textId="77777777" w:rsidR="005439CF" w:rsidRDefault="005439CF" w:rsidP="007F01B5">
      <w:pPr>
        <w:ind w:left="720" w:hanging="720"/>
      </w:pPr>
    </w:p>
    <w:p w14:paraId="7779ECE1" w14:textId="48870FE8" w:rsidR="00ED3A1E" w:rsidRDefault="005439CF" w:rsidP="007F01B5">
      <w:pPr>
        <w:ind w:left="720" w:hanging="720"/>
      </w:pPr>
      <w:r>
        <w:t>6.</w:t>
      </w:r>
      <w:r>
        <w:tab/>
        <w:t>LHN is the Government’s standard approach to determining the number of new homes that should be built in each local planning authority (LPA) area. It is based on a nationally set formula that draws from published statistics concerning household growth over a ten-year period and the affordability of local housing in each LPA.</w:t>
      </w:r>
      <w:r w:rsidR="00ED3A1E">
        <w:t xml:space="preserve"> More information can be found in </w:t>
      </w:r>
      <w:r w:rsidR="00ED3A1E" w:rsidRPr="007E5FF1">
        <w:rPr>
          <w:b/>
        </w:rPr>
        <w:t>Appendix 1</w:t>
      </w:r>
      <w:r w:rsidR="00ED3A1E">
        <w:t xml:space="preserve">, but the latest available data (2022) shows an average house price is </w:t>
      </w:r>
      <w:r w:rsidR="009F6921">
        <w:rPr>
          <w:b/>
        </w:rPr>
        <w:t>6.28</w:t>
      </w:r>
      <w:r w:rsidR="00ED3A1E">
        <w:t xml:space="preserve"> times </w:t>
      </w:r>
      <w:r w:rsidR="00FC6013">
        <w:t>in excess</w:t>
      </w:r>
      <w:r w:rsidR="009F6921">
        <w:t xml:space="preserve"> of</w:t>
      </w:r>
      <w:r w:rsidR="00ED3A1E">
        <w:t xml:space="preserve"> average local earnings. This is incorporated into the formula and all calculations for April 2022 are set out in Appendix 1. </w:t>
      </w:r>
    </w:p>
    <w:p w14:paraId="1B816089" w14:textId="77777777" w:rsidR="00ED3A1E" w:rsidRDefault="00ED3A1E" w:rsidP="007F01B5">
      <w:pPr>
        <w:ind w:left="720" w:hanging="720"/>
      </w:pPr>
    </w:p>
    <w:p w14:paraId="4D6137B8" w14:textId="3F9F22CC" w:rsidR="00ED3A1E" w:rsidRDefault="00ED3A1E" w:rsidP="007F01B5">
      <w:pPr>
        <w:ind w:left="720" w:hanging="720"/>
      </w:pPr>
      <w:r>
        <w:t>7.</w:t>
      </w:r>
      <w:r>
        <w:tab/>
        <w:t>Erewash’s local housing needs figure is</w:t>
      </w:r>
      <w:r w:rsidR="006B1B98">
        <w:t xml:space="preserve"> calculated as</w:t>
      </w:r>
      <w:r w:rsidR="00CF415C">
        <w:t xml:space="preserve"> </w:t>
      </w:r>
      <w:r w:rsidR="00CF415C" w:rsidRPr="007E5FF1">
        <w:rPr>
          <w:b/>
        </w:rPr>
        <w:t>38</w:t>
      </w:r>
      <w:r w:rsidR="007B5074">
        <w:rPr>
          <w:b/>
        </w:rPr>
        <w:t>6</w:t>
      </w:r>
      <w:r w:rsidRPr="007E5FF1">
        <w:rPr>
          <w:b/>
        </w:rPr>
        <w:t xml:space="preserve"> dwellings per annum</w:t>
      </w:r>
      <w:r>
        <w:t>.</w:t>
      </w:r>
    </w:p>
    <w:p w14:paraId="25A3606B" w14:textId="77777777" w:rsidR="00ED3A1E" w:rsidRDefault="00ED3A1E" w:rsidP="007F01B5">
      <w:pPr>
        <w:ind w:left="720" w:hanging="720"/>
      </w:pPr>
    </w:p>
    <w:p w14:paraId="07B6A2CB" w14:textId="77777777" w:rsidR="0032266B" w:rsidRDefault="00ED3A1E" w:rsidP="007F01B5">
      <w:pPr>
        <w:ind w:left="720" w:hanging="720"/>
      </w:pPr>
      <w:r>
        <w:t>8.</w:t>
      </w:r>
      <w:r>
        <w:tab/>
        <w:t>NPPF Paragraph 74 sets out various options relating to how LPAs are required to maintain supply and delivery of new housing.</w:t>
      </w:r>
      <w:r w:rsidR="0032266B">
        <w:t xml:space="preserve"> A key element of this is the application of a buffer to boost the availability of specific deliverable sites. The buffer varies in </w:t>
      </w:r>
      <w:r w:rsidR="0032266B">
        <w:lastRenderedPageBreak/>
        <w:t>size between 5% (to ensure choice and competition in the market for land), 10% (where the LPA is seeking to fix its five-year supply) or 20% (where there is under-delivery based on the Housing Delivery Test (HDT)).</w:t>
      </w:r>
    </w:p>
    <w:p w14:paraId="049008E3" w14:textId="77777777" w:rsidR="0032266B" w:rsidRDefault="0032266B" w:rsidP="007F01B5">
      <w:pPr>
        <w:ind w:left="720" w:hanging="720"/>
      </w:pPr>
    </w:p>
    <w:p w14:paraId="24B1965A" w14:textId="5F038E85" w:rsidR="00252E76" w:rsidRDefault="0032266B" w:rsidP="007F01B5">
      <w:pPr>
        <w:ind w:left="720" w:hanging="720"/>
      </w:pPr>
      <w:r>
        <w:t>9.</w:t>
      </w:r>
      <w:r>
        <w:tab/>
        <w:t xml:space="preserve">The most recent HDT results were published on </w:t>
      </w:r>
      <w:r w:rsidRPr="00FC6013">
        <w:rPr>
          <w:b/>
          <w:bCs/>
        </w:rPr>
        <w:t>February 13</w:t>
      </w:r>
      <w:r w:rsidRPr="00FC6013">
        <w:rPr>
          <w:b/>
          <w:bCs/>
          <w:vertAlign w:val="superscript"/>
        </w:rPr>
        <w:t>th</w:t>
      </w:r>
      <w:proofErr w:type="gramStart"/>
      <w:r w:rsidRPr="00FC6013">
        <w:rPr>
          <w:b/>
          <w:bCs/>
        </w:rPr>
        <w:t xml:space="preserve"> 2022</w:t>
      </w:r>
      <w:proofErr w:type="gramEnd"/>
      <w:r>
        <w:t>. Erewash’s performance in recent tests are shown beneath in Table</w:t>
      </w:r>
      <w:r w:rsidR="007E5FF1">
        <w:t xml:space="preserve"> 1</w:t>
      </w:r>
      <w:r>
        <w:t>. The table shows that Erewash has not yet achieved the required amount of</w:t>
      </w:r>
      <w:r w:rsidR="007E5FF1">
        <w:t xml:space="preserve"> housing in any of the years </w:t>
      </w:r>
      <w:r>
        <w:t>the HDT</w:t>
      </w:r>
      <w:r w:rsidR="007E5FF1">
        <w:t xml:space="preserve"> has</w:t>
      </w:r>
      <w:r w:rsidR="00F81F74">
        <w:t xml:space="preserve"> </w:t>
      </w:r>
      <w:r w:rsidR="00FC6013">
        <w:t>been in operation for</w:t>
      </w:r>
      <w:r>
        <w:t>.</w:t>
      </w:r>
    </w:p>
    <w:p w14:paraId="4BE1C2C7" w14:textId="77777777" w:rsidR="00252E76" w:rsidRDefault="00252E76" w:rsidP="007F01B5">
      <w:pPr>
        <w:ind w:left="720" w:hanging="720"/>
      </w:pPr>
    </w:p>
    <w:p w14:paraId="2EFA1C18" w14:textId="77777777" w:rsidR="00252E76" w:rsidRDefault="00252E76" w:rsidP="007F01B5">
      <w:pPr>
        <w:ind w:left="720" w:hanging="720"/>
      </w:pPr>
      <w:r>
        <w:t>10.</w:t>
      </w:r>
      <w:r>
        <w:tab/>
        <w:t>The HDT results for Erewash show that despite</w:t>
      </w:r>
      <w:r w:rsidR="00CF415C">
        <w:t xml:space="preserve"> delivery</w:t>
      </w:r>
      <w:r>
        <w:t xml:space="preserve"> i</w:t>
      </w:r>
      <w:r w:rsidR="00CF415C">
        <w:t xml:space="preserve">mprovements across the several years in which </w:t>
      </w:r>
      <w:r w:rsidR="007E5FF1">
        <w:t>the test</w:t>
      </w:r>
      <w:r w:rsidR="00CF415C">
        <w:t xml:space="preserve"> has been in place</w:t>
      </w:r>
      <w:r>
        <w:t>, there has been persistent underdelivery</w:t>
      </w:r>
      <w:r w:rsidR="007E5FF1">
        <w:t xml:space="preserve"> of new housing. </w:t>
      </w:r>
      <w:r w:rsidR="007E5FF1" w:rsidRPr="00FC6013">
        <w:rPr>
          <w:b/>
          <w:bCs/>
        </w:rPr>
        <w:t>This confirms the</w:t>
      </w:r>
      <w:r w:rsidR="00CF415C" w:rsidRPr="00FC6013">
        <w:rPr>
          <w:b/>
          <w:bCs/>
        </w:rPr>
        <w:t xml:space="preserve"> need for the Council</w:t>
      </w:r>
      <w:r w:rsidRPr="00FC6013">
        <w:rPr>
          <w:b/>
          <w:bCs/>
        </w:rPr>
        <w:t xml:space="preserve"> to apply a 20%</w:t>
      </w:r>
      <w:r w:rsidR="00CF415C" w:rsidRPr="00FC6013">
        <w:rPr>
          <w:b/>
          <w:bCs/>
        </w:rPr>
        <w:t xml:space="preserve"> buffer</w:t>
      </w:r>
      <w:r w:rsidRPr="00FC6013">
        <w:rPr>
          <w:b/>
          <w:bCs/>
        </w:rPr>
        <w:t xml:space="preserve"> to its calculated five-year h</w:t>
      </w:r>
      <w:r w:rsidR="00CF415C" w:rsidRPr="00FC6013">
        <w:rPr>
          <w:b/>
          <w:bCs/>
        </w:rPr>
        <w:t>ousing land requirement</w:t>
      </w:r>
      <w:r>
        <w:t>.</w:t>
      </w:r>
    </w:p>
    <w:p w14:paraId="4C14895A" w14:textId="77777777" w:rsidR="00252E76" w:rsidRDefault="00252E76" w:rsidP="007F01B5">
      <w:pPr>
        <w:ind w:left="720" w:hanging="720"/>
      </w:pPr>
    </w:p>
    <w:p w14:paraId="4AE62A38" w14:textId="77777777" w:rsidR="00252E76" w:rsidRDefault="00252E76" w:rsidP="003A5E97">
      <w:pPr>
        <w:pStyle w:val="Heading1"/>
      </w:pPr>
      <w:r>
        <w:t>Table 1:</w:t>
      </w:r>
      <w:r w:rsidR="007E5FF1">
        <w:t xml:space="preserve"> Housing Delivery Test results</w:t>
      </w:r>
    </w:p>
    <w:tbl>
      <w:tblPr>
        <w:tblStyle w:val="TableGrid"/>
        <w:tblW w:w="0" w:type="auto"/>
        <w:tblInd w:w="-5" w:type="dxa"/>
        <w:tblLook w:val="04A0" w:firstRow="1" w:lastRow="0" w:firstColumn="1" w:lastColumn="0" w:noHBand="0" w:noVBand="1"/>
        <w:tblCaption w:val="Table 1"/>
        <w:tblDescription w:val="Description of Housing Delivery Test performance"/>
      </w:tblPr>
      <w:tblGrid>
        <w:gridCol w:w="1409"/>
        <w:gridCol w:w="1363"/>
        <w:gridCol w:w="1366"/>
        <w:gridCol w:w="1411"/>
        <w:gridCol w:w="1400"/>
        <w:gridCol w:w="1347"/>
      </w:tblGrid>
      <w:tr w:rsidR="00252E76" w14:paraId="376B4AC2" w14:textId="77777777" w:rsidTr="009F6921">
        <w:trPr>
          <w:cantSplit/>
          <w:tblHeader/>
        </w:trPr>
        <w:tc>
          <w:tcPr>
            <w:tcW w:w="1409" w:type="dxa"/>
          </w:tcPr>
          <w:p w14:paraId="7AEE8F17" w14:textId="77777777" w:rsidR="00252E76" w:rsidRPr="00252E76" w:rsidRDefault="00252E76" w:rsidP="007F01B5">
            <w:pPr>
              <w:rPr>
                <w:b/>
              </w:rPr>
            </w:pPr>
            <w:r w:rsidRPr="00252E76">
              <w:rPr>
                <w:b/>
              </w:rPr>
              <w:t>Set of HDT results</w:t>
            </w:r>
          </w:p>
        </w:tc>
        <w:tc>
          <w:tcPr>
            <w:tcW w:w="1363" w:type="dxa"/>
          </w:tcPr>
          <w:p w14:paraId="2CF46303" w14:textId="77777777" w:rsidR="00252E76" w:rsidRPr="00252E76" w:rsidRDefault="00252E76" w:rsidP="007F01B5">
            <w:pPr>
              <w:rPr>
                <w:b/>
              </w:rPr>
            </w:pPr>
            <w:r w:rsidRPr="00252E76">
              <w:rPr>
                <w:b/>
              </w:rPr>
              <w:t>Target</w:t>
            </w:r>
          </w:p>
        </w:tc>
        <w:tc>
          <w:tcPr>
            <w:tcW w:w="1366" w:type="dxa"/>
          </w:tcPr>
          <w:p w14:paraId="36873518" w14:textId="77777777" w:rsidR="00252E76" w:rsidRPr="00252E76" w:rsidRDefault="00252E76" w:rsidP="007F01B5">
            <w:pPr>
              <w:rPr>
                <w:b/>
              </w:rPr>
            </w:pPr>
            <w:r w:rsidRPr="00252E76">
              <w:rPr>
                <w:b/>
              </w:rPr>
              <w:t>Period</w:t>
            </w:r>
          </w:p>
        </w:tc>
        <w:tc>
          <w:tcPr>
            <w:tcW w:w="1411" w:type="dxa"/>
          </w:tcPr>
          <w:p w14:paraId="7C0CACBC" w14:textId="77777777" w:rsidR="00252E76" w:rsidRPr="00252E76" w:rsidRDefault="00252E76" w:rsidP="007F01B5">
            <w:pPr>
              <w:rPr>
                <w:b/>
              </w:rPr>
            </w:pPr>
            <w:r w:rsidRPr="00252E76">
              <w:rPr>
                <w:b/>
              </w:rPr>
              <w:t>Number of homes required</w:t>
            </w:r>
          </w:p>
          <w:p w14:paraId="0D4BB265" w14:textId="77777777" w:rsidR="00252E76" w:rsidRPr="00252E76" w:rsidRDefault="00252E76" w:rsidP="007F01B5">
            <w:pPr>
              <w:rPr>
                <w:b/>
              </w:rPr>
            </w:pPr>
          </w:p>
        </w:tc>
        <w:tc>
          <w:tcPr>
            <w:tcW w:w="1400" w:type="dxa"/>
          </w:tcPr>
          <w:p w14:paraId="2C07772D" w14:textId="77777777" w:rsidR="00252E76" w:rsidRPr="00252E76" w:rsidRDefault="00252E76" w:rsidP="007F01B5">
            <w:pPr>
              <w:rPr>
                <w:b/>
              </w:rPr>
            </w:pPr>
            <w:r w:rsidRPr="00252E76">
              <w:rPr>
                <w:b/>
              </w:rPr>
              <w:t>Number of homes built</w:t>
            </w:r>
          </w:p>
        </w:tc>
        <w:tc>
          <w:tcPr>
            <w:tcW w:w="1347" w:type="dxa"/>
          </w:tcPr>
          <w:p w14:paraId="3573D2D0" w14:textId="77777777" w:rsidR="00252E76" w:rsidRPr="00252E76" w:rsidRDefault="00252E76" w:rsidP="007F01B5">
            <w:pPr>
              <w:rPr>
                <w:b/>
              </w:rPr>
            </w:pPr>
            <w:r w:rsidRPr="00252E76">
              <w:rPr>
                <w:b/>
              </w:rPr>
              <w:t>% result</w:t>
            </w:r>
          </w:p>
        </w:tc>
      </w:tr>
      <w:tr w:rsidR="00252E76" w14:paraId="07F298A0" w14:textId="77777777" w:rsidTr="009F6921">
        <w:trPr>
          <w:cantSplit/>
          <w:tblHeader/>
        </w:trPr>
        <w:tc>
          <w:tcPr>
            <w:tcW w:w="1409" w:type="dxa"/>
          </w:tcPr>
          <w:p w14:paraId="2A1FBC1C" w14:textId="77777777" w:rsidR="00252E76" w:rsidRDefault="006B1B98" w:rsidP="007F01B5">
            <w:r>
              <w:t>February 2019</w:t>
            </w:r>
          </w:p>
        </w:tc>
        <w:tc>
          <w:tcPr>
            <w:tcW w:w="1363" w:type="dxa"/>
          </w:tcPr>
          <w:p w14:paraId="1E804A87" w14:textId="77777777" w:rsidR="00252E76" w:rsidRDefault="00CF415C" w:rsidP="007F01B5">
            <w:r>
              <w:t>363</w:t>
            </w:r>
            <w:r w:rsidR="006B1B98">
              <w:t xml:space="preserve"> to </w:t>
            </w:r>
            <w:r>
              <w:t>368</w:t>
            </w:r>
          </w:p>
        </w:tc>
        <w:tc>
          <w:tcPr>
            <w:tcW w:w="1366" w:type="dxa"/>
          </w:tcPr>
          <w:p w14:paraId="3AB7D40A" w14:textId="77777777" w:rsidR="00252E76" w:rsidRDefault="006B1B98" w:rsidP="007F01B5">
            <w:r>
              <w:t>2015-2018</w:t>
            </w:r>
          </w:p>
        </w:tc>
        <w:tc>
          <w:tcPr>
            <w:tcW w:w="1411" w:type="dxa"/>
          </w:tcPr>
          <w:p w14:paraId="394E69E9" w14:textId="77777777" w:rsidR="00252E76" w:rsidRDefault="006B1B98" w:rsidP="007F01B5">
            <w:r>
              <w:t>1,098</w:t>
            </w:r>
          </w:p>
        </w:tc>
        <w:tc>
          <w:tcPr>
            <w:tcW w:w="1400" w:type="dxa"/>
          </w:tcPr>
          <w:p w14:paraId="1041E72A" w14:textId="77777777" w:rsidR="00252E76" w:rsidRDefault="006B1B98" w:rsidP="007F01B5">
            <w:r>
              <w:t>721</w:t>
            </w:r>
          </w:p>
        </w:tc>
        <w:tc>
          <w:tcPr>
            <w:tcW w:w="1347" w:type="dxa"/>
          </w:tcPr>
          <w:p w14:paraId="4B4DEFBA" w14:textId="77777777" w:rsidR="00252E76" w:rsidRDefault="006B1B98" w:rsidP="007F01B5">
            <w:r>
              <w:t>66%</w:t>
            </w:r>
          </w:p>
        </w:tc>
      </w:tr>
      <w:tr w:rsidR="00252E76" w14:paraId="2DC415AA" w14:textId="77777777" w:rsidTr="009F6921">
        <w:trPr>
          <w:cantSplit/>
          <w:tblHeader/>
        </w:trPr>
        <w:tc>
          <w:tcPr>
            <w:tcW w:w="1409" w:type="dxa"/>
          </w:tcPr>
          <w:p w14:paraId="00D5F4BE" w14:textId="77777777" w:rsidR="00252E76" w:rsidRDefault="006B1B98" w:rsidP="007F01B5">
            <w:r>
              <w:t>February 2020</w:t>
            </w:r>
          </w:p>
        </w:tc>
        <w:tc>
          <w:tcPr>
            <w:tcW w:w="1363" w:type="dxa"/>
          </w:tcPr>
          <w:p w14:paraId="2B1ABC7F" w14:textId="77777777" w:rsidR="00252E76" w:rsidRDefault="00CF415C" w:rsidP="007F01B5">
            <w:r>
              <w:t>363 to 369</w:t>
            </w:r>
          </w:p>
        </w:tc>
        <w:tc>
          <w:tcPr>
            <w:tcW w:w="1366" w:type="dxa"/>
          </w:tcPr>
          <w:p w14:paraId="3BBE12B4" w14:textId="77777777" w:rsidR="00252E76" w:rsidRDefault="00CF415C" w:rsidP="007F01B5">
            <w:r>
              <w:t>2016-2019</w:t>
            </w:r>
          </w:p>
        </w:tc>
        <w:tc>
          <w:tcPr>
            <w:tcW w:w="1411" w:type="dxa"/>
          </w:tcPr>
          <w:p w14:paraId="05E05C12" w14:textId="77777777" w:rsidR="00252E76" w:rsidRDefault="00CF415C" w:rsidP="007F01B5">
            <w:r>
              <w:t>1,100</w:t>
            </w:r>
          </w:p>
        </w:tc>
        <w:tc>
          <w:tcPr>
            <w:tcW w:w="1400" w:type="dxa"/>
          </w:tcPr>
          <w:p w14:paraId="0B38E413" w14:textId="77777777" w:rsidR="00252E76" w:rsidRDefault="00CF415C" w:rsidP="007F01B5">
            <w:r>
              <w:t>685</w:t>
            </w:r>
          </w:p>
        </w:tc>
        <w:tc>
          <w:tcPr>
            <w:tcW w:w="1347" w:type="dxa"/>
          </w:tcPr>
          <w:p w14:paraId="209275F6" w14:textId="77777777" w:rsidR="00252E76" w:rsidRDefault="00CF415C" w:rsidP="007F01B5">
            <w:r>
              <w:t>62%</w:t>
            </w:r>
          </w:p>
        </w:tc>
      </w:tr>
      <w:tr w:rsidR="00252E76" w14:paraId="14A6BF35" w14:textId="77777777" w:rsidTr="009F6921">
        <w:trPr>
          <w:cantSplit/>
          <w:tblHeader/>
        </w:trPr>
        <w:tc>
          <w:tcPr>
            <w:tcW w:w="1409" w:type="dxa"/>
          </w:tcPr>
          <w:p w14:paraId="567FF68B" w14:textId="77777777" w:rsidR="00252E76" w:rsidRDefault="006B1B98" w:rsidP="007F01B5">
            <w:r>
              <w:t>February 2021</w:t>
            </w:r>
          </w:p>
        </w:tc>
        <w:tc>
          <w:tcPr>
            <w:tcW w:w="1363" w:type="dxa"/>
          </w:tcPr>
          <w:p w14:paraId="06221FE5" w14:textId="77777777" w:rsidR="00252E76" w:rsidRDefault="00CF415C" w:rsidP="007F01B5">
            <w:r>
              <w:t>360 to 369</w:t>
            </w:r>
          </w:p>
        </w:tc>
        <w:tc>
          <w:tcPr>
            <w:tcW w:w="1366" w:type="dxa"/>
          </w:tcPr>
          <w:p w14:paraId="662E4F28" w14:textId="77777777" w:rsidR="00252E76" w:rsidRDefault="00CF415C" w:rsidP="007F01B5">
            <w:r>
              <w:t>2017-2020</w:t>
            </w:r>
          </w:p>
        </w:tc>
        <w:tc>
          <w:tcPr>
            <w:tcW w:w="1411" w:type="dxa"/>
          </w:tcPr>
          <w:p w14:paraId="199FAFDD" w14:textId="77777777" w:rsidR="00252E76" w:rsidRDefault="00CF415C" w:rsidP="007F01B5">
            <w:r>
              <w:t>1,092</w:t>
            </w:r>
          </w:p>
        </w:tc>
        <w:tc>
          <w:tcPr>
            <w:tcW w:w="1400" w:type="dxa"/>
          </w:tcPr>
          <w:p w14:paraId="1E2A6E34" w14:textId="77777777" w:rsidR="00252E76" w:rsidRDefault="00CF415C" w:rsidP="007F01B5">
            <w:r>
              <w:t>752</w:t>
            </w:r>
          </w:p>
        </w:tc>
        <w:tc>
          <w:tcPr>
            <w:tcW w:w="1347" w:type="dxa"/>
          </w:tcPr>
          <w:p w14:paraId="5CD28E37" w14:textId="77777777" w:rsidR="00252E76" w:rsidRDefault="00CF415C" w:rsidP="007F01B5">
            <w:r>
              <w:t>69%</w:t>
            </w:r>
          </w:p>
        </w:tc>
      </w:tr>
      <w:tr w:rsidR="00252E76" w14:paraId="0C74F3DF" w14:textId="77777777" w:rsidTr="009F6921">
        <w:trPr>
          <w:cantSplit/>
          <w:tblHeader/>
        </w:trPr>
        <w:tc>
          <w:tcPr>
            <w:tcW w:w="1409" w:type="dxa"/>
          </w:tcPr>
          <w:p w14:paraId="5C0204F5" w14:textId="69EA1CA1" w:rsidR="00252E76" w:rsidRDefault="00FC6013" w:rsidP="007F01B5">
            <w:r>
              <w:t>February</w:t>
            </w:r>
            <w:r w:rsidR="006B1B98">
              <w:t xml:space="preserve"> 2022</w:t>
            </w:r>
          </w:p>
        </w:tc>
        <w:tc>
          <w:tcPr>
            <w:tcW w:w="1363" w:type="dxa"/>
          </w:tcPr>
          <w:p w14:paraId="54850764" w14:textId="77777777" w:rsidR="00252E76" w:rsidRDefault="00CF415C" w:rsidP="007F01B5">
            <w:r>
              <w:t>261 to 369</w:t>
            </w:r>
          </w:p>
        </w:tc>
        <w:tc>
          <w:tcPr>
            <w:tcW w:w="1366" w:type="dxa"/>
          </w:tcPr>
          <w:p w14:paraId="0E795FBF" w14:textId="77777777" w:rsidR="00252E76" w:rsidRDefault="00CF415C" w:rsidP="007F01B5">
            <w:r>
              <w:t>2018-2021</w:t>
            </w:r>
          </w:p>
        </w:tc>
        <w:tc>
          <w:tcPr>
            <w:tcW w:w="1411" w:type="dxa"/>
          </w:tcPr>
          <w:p w14:paraId="615AE2C0" w14:textId="77777777" w:rsidR="00252E76" w:rsidRDefault="00CF415C" w:rsidP="007F01B5">
            <w:r>
              <w:t>990</w:t>
            </w:r>
          </w:p>
        </w:tc>
        <w:tc>
          <w:tcPr>
            <w:tcW w:w="1400" w:type="dxa"/>
          </w:tcPr>
          <w:p w14:paraId="76B9BAB6" w14:textId="77777777" w:rsidR="00252E76" w:rsidRDefault="00CF415C" w:rsidP="007F01B5">
            <w:r>
              <w:t>782</w:t>
            </w:r>
          </w:p>
        </w:tc>
        <w:tc>
          <w:tcPr>
            <w:tcW w:w="1347" w:type="dxa"/>
          </w:tcPr>
          <w:p w14:paraId="4E3CC596" w14:textId="77777777" w:rsidR="00252E76" w:rsidRDefault="00CF415C" w:rsidP="007F01B5">
            <w:r>
              <w:t>79%</w:t>
            </w:r>
          </w:p>
        </w:tc>
      </w:tr>
    </w:tbl>
    <w:p w14:paraId="7DBC6675" w14:textId="4D502955" w:rsidR="00252E76" w:rsidRDefault="00252E76" w:rsidP="00252E76">
      <w:pPr>
        <w:ind w:left="720" w:hanging="720"/>
      </w:pPr>
      <w:r>
        <w:t xml:space="preserve"> </w:t>
      </w:r>
      <w:r w:rsidR="005439CF">
        <w:t xml:space="preserve">   </w:t>
      </w:r>
    </w:p>
    <w:p w14:paraId="174E780D" w14:textId="77777777" w:rsidR="00C362D0" w:rsidRDefault="00C362D0" w:rsidP="00252E76">
      <w:pPr>
        <w:ind w:left="720" w:hanging="720"/>
      </w:pPr>
    </w:p>
    <w:p w14:paraId="3FB39C67" w14:textId="77777777" w:rsidR="00252E76" w:rsidRDefault="00252E76" w:rsidP="00252E76">
      <w:pPr>
        <w:pStyle w:val="Heading1"/>
      </w:pPr>
      <w:r>
        <w:t>Calculating the five-year housing supply requirement</w:t>
      </w:r>
    </w:p>
    <w:p w14:paraId="6883E5AB" w14:textId="77777777" w:rsidR="00252E76" w:rsidRDefault="00252E76" w:rsidP="00252E76"/>
    <w:p w14:paraId="270ED18D" w14:textId="50669110" w:rsidR="00252E76" w:rsidRDefault="00252E76" w:rsidP="00CF415C">
      <w:pPr>
        <w:ind w:left="720" w:hanging="720"/>
      </w:pPr>
      <w:r>
        <w:t>11.</w:t>
      </w:r>
      <w:r>
        <w:tab/>
      </w:r>
      <w:r w:rsidR="00CF415C" w:rsidRPr="00FC6013">
        <w:rPr>
          <w:b/>
          <w:bCs/>
        </w:rPr>
        <w:t>Table 2</w:t>
      </w:r>
      <w:r w:rsidR="00CF415C">
        <w:t xml:space="preserve"> below presents the five-year housing supply requirement based on the LHN requirement of 387 dwellings per annum. Despite now being out-of-date, </w:t>
      </w:r>
      <w:r w:rsidR="007E5FF1">
        <w:t>the Core Strategy requirements are</w:t>
      </w:r>
      <w:r w:rsidR="00CF415C">
        <w:t xml:space="preserve"> shown for comparative purposes. The LHN requirement totals 1,935 dwellings over five years. Application of the 20% buffer</w:t>
      </w:r>
      <w:r w:rsidR="007E5FF1">
        <w:t xml:space="preserve"> (in essence, </w:t>
      </w:r>
      <w:r w:rsidR="00FC6013">
        <w:t xml:space="preserve">the addition of </w:t>
      </w:r>
      <w:r w:rsidR="007E5FF1">
        <w:t>a sixth year)</w:t>
      </w:r>
      <w:r w:rsidR="00CF415C">
        <w:t xml:space="preserve"> results in an overall supply requirement of 2,322 dwellings.</w:t>
      </w:r>
    </w:p>
    <w:p w14:paraId="7E89CE6F" w14:textId="77777777" w:rsidR="00CB68BA" w:rsidRDefault="00CB68BA" w:rsidP="00CB68BA">
      <w:pPr>
        <w:pStyle w:val="Heading1"/>
        <w:rPr>
          <w:rFonts w:eastAsiaTheme="minorHAnsi" w:cstheme="minorBidi"/>
          <w:b w:val="0"/>
          <w:color w:val="auto"/>
          <w:sz w:val="22"/>
          <w:szCs w:val="22"/>
        </w:rPr>
      </w:pPr>
    </w:p>
    <w:p w14:paraId="07C16BB8" w14:textId="77777777" w:rsidR="00CB68BA" w:rsidRPr="00CB68BA" w:rsidRDefault="00CB68BA" w:rsidP="00CB68BA">
      <w:pPr>
        <w:pStyle w:val="Heading1"/>
      </w:pPr>
      <w:r>
        <w:t>Table 2:</w:t>
      </w:r>
      <w:r w:rsidR="00BB3C39">
        <w:t xml:space="preserve"> </w:t>
      </w:r>
      <w:r w:rsidR="007E5FF1">
        <w:t>Five-year housing supply target</w:t>
      </w:r>
    </w:p>
    <w:tbl>
      <w:tblPr>
        <w:tblStyle w:val="TableGrid"/>
        <w:tblW w:w="8222" w:type="dxa"/>
        <w:tblInd w:w="-5" w:type="dxa"/>
        <w:tblLook w:val="04A0" w:firstRow="1" w:lastRow="0" w:firstColumn="1" w:lastColumn="0" w:noHBand="0" w:noVBand="1"/>
        <w:tblCaption w:val="Table 2"/>
        <w:tblDescription w:val="Description of 5-year housing supply target"/>
      </w:tblPr>
      <w:tblGrid>
        <w:gridCol w:w="851"/>
        <w:gridCol w:w="3657"/>
        <w:gridCol w:w="1729"/>
        <w:gridCol w:w="1985"/>
      </w:tblGrid>
      <w:tr w:rsidR="00CB68BA" w14:paraId="766EFCFB" w14:textId="77777777" w:rsidTr="009F6921">
        <w:trPr>
          <w:cantSplit/>
          <w:tblHeader/>
        </w:trPr>
        <w:tc>
          <w:tcPr>
            <w:tcW w:w="851" w:type="dxa"/>
          </w:tcPr>
          <w:p w14:paraId="224E1AD5" w14:textId="7CDD91B6" w:rsidR="00CB68BA" w:rsidRPr="009F6921" w:rsidRDefault="009F6921" w:rsidP="00CB68BA">
            <w:pPr>
              <w:rPr>
                <w:b/>
              </w:rPr>
            </w:pPr>
            <w:r w:rsidRPr="009F6921">
              <w:rPr>
                <w:b/>
              </w:rPr>
              <w:t>Stage</w:t>
            </w:r>
          </w:p>
        </w:tc>
        <w:tc>
          <w:tcPr>
            <w:tcW w:w="3657" w:type="dxa"/>
          </w:tcPr>
          <w:p w14:paraId="29681E91" w14:textId="431558B4" w:rsidR="00CB68BA" w:rsidRPr="009F6921" w:rsidRDefault="009F6921" w:rsidP="00CB68BA">
            <w:pPr>
              <w:rPr>
                <w:b/>
              </w:rPr>
            </w:pPr>
            <w:r w:rsidRPr="009F6921">
              <w:rPr>
                <w:b/>
              </w:rPr>
              <w:t>Task</w:t>
            </w:r>
          </w:p>
        </w:tc>
        <w:tc>
          <w:tcPr>
            <w:tcW w:w="1729" w:type="dxa"/>
          </w:tcPr>
          <w:p w14:paraId="1A697B91" w14:textId="77777777" w:rsidR="00CB68BA" w:rsidRPr="007839E0" w:rsidRDefault="00CB68BA" w:rsidP="00CB68BA">
            <w:pPr>
              <w:rPr>
                <w:b/>
              </w:rPr>
            </w:pPr>
            <w:r w:rsidRPr="007839E0">
              <w:rPr>
                <w:b/>
              </w:rPr>
              <w:t>Core Strategy 2014</w:t>
            </w:r>
          </w:p>
        </w:tc>
        <w:tc>
          <w:tcPr>
            <w:tcW w:w="1985" w:type="dxa"/>
          </w:tcPr>
          <w:p w14:paraId="5BB629D0" w14:textId="77777777" w:rsidR="00CB68BA" w:rsidRPr="007839E0" w:rsidRDefault="00CB68BA" w:rsidP="00CB68BA">
            <w:pPr>
              <w:rPr>
                <w:b/>
              </w:rPr>
            </w:pPr>
            <w:r w:rsidRPr="007839E0">
              <w:rPr>
                <w:b/>
              </w:rPr>
              <w:t>Local Housing Need figure</w:t>
            </w:r>
          </w:p>
        </w:tc>
      </w:tr>
      <w:tr w:rsidR="00CB68BA" w14:paraId="18DFCB4F" w14:textId="77777777" w:rsidTr="009F6921">
        <w:trPr>
          <w:cantSplit/>
          <w:tblHeader/>
        </w:trPr>
        <w:tc>
          <w:tcPr>
            <w:tcW w:w="851" w:type="dxa"/>
          </w:tcPr>
          <w:p w14:paraId="1AEC2305" w14:textId="77777777" w:rsidR="00CB68BA" w:rsidRDefault="00CB68BA" w:rsidP="00CB68BA">
            <w:r>
              <w:t>(a)</w:t>
            </w:r>
          </w:p>
        </w:tc>
        <w:tc>
          <w:tcPr>
            <w:tcW w:w="3657" w:type="dxa"/>
          </w:tcPr>
          <w:p w14:paraId="700837C7" w14:textId="77777777" w:rsidR="00CB68BA" w:rsidRDefault="00CB68BA" w:rsidP="00CB68BA">
            <w:r>
              <w:t>Annual housing requirement</w:t>
            </w:r>
          </w:p>
        </w:tc>
        <w:tc>
          <w:tcPr>
            <w:tcW w:w="1729" w:type="dxa"/>
          </w:tcPr>
          <w:p w14:paraId="0650B9A5" w14:textId="77777777" w:rsidR="00CB68BA" w:rsidRDefault="00CB68BA" w:rsidP="00CB68BA">
            <w:r>
              <w:t>368</w:t>
            </w:r>
          </w:p>
        </w:tc>
        <w:tc>
          <w:tcPr>
            <w:tcW w:w="1985" w:type="dxa"/>
          </w:tcPr>
          <w:p w14:paraId="61EE953A" w14:textId="2A2F0435" w:rsidR="00CB68BA" w:rsidRDefault="007B5074" w:rsidP="00CB68BA">
            <w:r>
              <w:t>386</w:t>
            </w:r>
          </w:p>
        </w:tc>
      </w:tr>
      <w:tr w:rsidR="00CB68BA" w14:paraId="276AB983" w14:textId="77777777" w:rsidTr="009F6921">
        <w:trPr>
          <w:cantSplit/>
          <w:tblHeader/>
        </w:trPr>
        <w:tc>
          <w:tcPr>
            <w:tcW w:w="851" w:type="dxa"/>
          </w:tcPr>
          <w:p w14:paraId="5C874521" w14:textId="77777777" w:rsidR="00CB68BA" w:rsidRDefault="00CB68BA" w:rsidP="00CB68BA">
            <w:r>
              <w:t>(b)</w:t>
            </w:r>
          </w:p>
        </w:tc>
        <w:tc>
          <w:tcPr>
            <w:tcW w:w="3657" w:type="dxa"/>
          </w:tcPr>
          <w:p w14:paraId="4C73DC01" w14:textId="77777777" w:rsidR="00CB68BA" w:rsidRDefault="00CB68BA" w:rsidP="00CB68BA">
            <w:r>
              <w:t>Over five-year period ((a) x 5)</w:t>
            </w:r>
          </w:p>
        </w:tc>
        <w:tc>
          <w:tcPr>
            <w:tcW w:w="1729" w:type="dxa"/>
          </w:tcPr>
          <w:p w14:paraId="13CBE41D" w14:textId="77777777" w:rsidR="00CB68BA" w:rsidRDefault="00CB68BA" w:rsidP="00CB68BA">
            <w:r>
              <w:t>1,840</w:t>
            </w:r>
          </w:p>
        </w:tc>
        <w:tc>
          <w:tcPr>
            <w:tcW w:w="1985" w:type="dxa"/>
          </w:tcPr>
          <w:p w14:paraId="0FFAE688" w14:textId="10D65B81" w:rsidR="00CB68BA" w:rsidRDefault="007B5074" w:rsidP="00CB68BA">
            <w:r>
              <w:t>1,930</w:t>
            </w:r>
          </w:p>
        </w:tc>
      </w:tr>
      <w:tr w:rsidR="00CB68BA" w14:paraId="2AF1A5FA" w14:textId="77777777" w:rsidTr="009F6921">
        <w:trPr>
          <w:cantSplit/>
          <w:tblHeader/>
        </w:trPr>
        <w:tc>
          <w:tcPr>
            <w:tcW w:w="851" w:type="dxa"/>
          </w:tcPr>
          <w:p w14:paraId="445BA2B8" w14:textId="77777777" w:rsidR="00CB68BA" w:rsidRDefault="00CB68BA" w:rsidP="00CB68BA">
            <w:r>
              <w:t>(c)</w:t>
            </w:r>
          </w:p>
        </w:tc>
        <w:tc>
          <w:tcPr>
            <w:tcW w:w="3657" w:type="dxa"/>
          </w:tcPr>
          <w:p w14:paraId="0A7E354E" w14:textId="77777777" w:rsidR="00CB68BA" w:rsidRDefault="00CB68BA" w:rsidP="00CB68BA">
            <w:r>
              <w:t>Plus 20% buffer ((b) x 20%)</w:t>
            </w:r>
          </w:p>
        </w:tc>
        <w:tc>
          <w:tcPr>
            <w:tcW w:w="1729" w:type="dxa"/>
          </w:tcPr>
          <w:p w14:paraId="26CF9740" w14:textId="77777777" w:rsidR="00CB68BA" w:rsidRDefault="00CB68BA" w:rsidP="00CB68BA">
            <w:r>
              <w:t>368</w:t>
            </w:r>
          </w:p>
        </w:tc>
        <w:tc>
          <w:tcPr>
            <w:tcW w:w="1985" w:type="dxa"/>
          </w:tcPr>
          <w:p w14:paraId="04EA48A5" w14:textId="76120D72" w:rsidR="00CB68BA" w:rsidRDefault="007B5074" w:rsidP="00CB68BA">
            <w:r>
              <w:t>386</w:t>
            </w:r>
          </w:p>
        </w:tc>
      </w:tr>
      <w:tr w:rsidR="00CB68BA" w14:paraId="42BF9F63" w14:textId="77777777" w:rsidTr="009F6921">
        <w:trPr>
          <w:cantSplit/>
          <w:tblHeader/>
        </w:trPr>
        <w:tc>
          <w:tcPr>
            <w:tcW w:w="851" w:type="dxa"/>
          </w:tcPr>
          <w:p w14:paraId="13793EF7" w14:textId="24F8BFEB" w:rsidR="00CB68BA" w:rsidRDefault="009F6921" w:rsidP="00CB68BA">
            <w:r>
              <w:t>-</w:t>
            </w:r>
          </w:p>
        </w:tc>
        <w:tc>
          <w:tcPr>
            <w:tcW w:w="3657" w:type="dxa"/>
          </w:tcPr>
          <w:p w14:paraId="2D7146B9" w14:textId="77777777" w:rsidR="00CB68BA" w:rsidRPr="007E5FF1" w:rsidRDefault="00CB68BA" w:rsidP="00CB68BA">
            <w:pPr>
              <w:rPr>
                <w:b/>
              </w:rPr>
            </w:pPr>
            <w:r w:rsidRPr="007E5FF1">
              <w:rPr>
                <w:b/>
              </w:rPr>
              <w:t>5YLS requirement (b) + (c)</w:t>
            </w:r>
          </w:p>
        </w:tc>
        <w:tc>
          <w:tcPr>
            <w:tcW w:w="1729" w:type="dxa"/>
          </w:tcPr>
          <w:p w14:paraId="6DB2FB80" w14:textId="77777777" w:rsidR="00CB68BA" w:rsidRPr="007E5FF1" w:rsidRDefault="00CB68BA" w:rsidP="00CB68BA">
            <w:pPr>
              <w:rPr>
                <w:b/>
              </w:rPr>
            </w:pPr>
            <w:r w:rsidRPr="007E5FF1">
              <w:rPr>
                <w:b/>
              </w:rPr>
              <w:t>2,208</w:t>
            </w:r>
          </w:p>
        </w:tc>
        <w:tc>
          <w:tcPr>
            <w:tcW w:w="1985" w:type="dxa"/>
          </w:tcPr>
          <w:p w14:paraId="0667449B" w14:textId="74016A7B" w:rsidR="00CB68BA" w:rsidRPr="007E5FF1" w:rsidRDefault="007B5074" w:rsidP="00CB68BA">
            <w:pPr>
              <w:rPr>
                <w:b/>
              </w:rPr>
            </w:pPr>
            <w:r>
              <w:rPr>
                <w:b/>
              </w:rPr>
              <w:t>2,316</w:t>
            </w:r>
          </w:p>
        </w:tc>
      </w:tr>
    </w:tbl>
    <w:p w14:paraId="4C5271D4" w14:textId="5DC36241" w:rsidR="00CB68BA" w:rsidRDefault="00CB68BA" w:rsidP="00CB68BA"/>
    <w:p w14:paraId="2B9D5199" w14:textId="77777777" w:rsidR="00C362D0" w:rsidRDefault="00C362D0" w:rsidP="00CB68BA"/>
    <w:p w14:paraId="11E5BC31" w14:textId="09912199" w:rsidR="00CB68BA" w:rsidRDefault="00CB68BA" w:rsidP="00CB68BA">
      <w:pPr>
        <w:pStyle w:val="Heading1"/>
      </w:pPr>
      <w:r>
        <w:t>Erewash Strategic Housing Land Availability Assessment (SHLAA)</w:t>
      </w:r>
      <w:r w:rsidR="002E66FE">
        <w:t xml:space="preserve"> 2022</w:t>
      </w:r>
    </w:p>
    <w:p w14:paraId="3571660A" w14:textId="77777777" w:rsidR="002E66FE" w:rsidRDefault="002E66FE" w:rsidP="002E66FE"/>
    <w:p w14:paraId="5A6456FC" w14:textId="5F8AA1A4" w:rsidR="002E66FE" w:rsidRDefault="002E66FE" w:rsidP="002E66FE">
      <w:pPr>
        <w:ind w:left="720" w:hanging="720"/>
      </w:pPr>
      <w:r>
        <w:t>12.</w:t>
      </w:r>
      <w:r>
        <w:tab/>
        <w:t xml:space="preserve">The Council </w:t>
      </w:r>
      <w:r w:rsidR="007B5074">
        <w:t>have recently replaced</w:t>
      </w:r>
      <w:r>
        <w:t xml:space="preserve"> its</w:t>
      </w:r>
      <w:r w:rsidR="007B5074">
        <w:t xml:space="preserve"> 2019</w:t>
      </w:r>
      <w:r>
        <w:t xml:space="preserve"> SHLAA</w:t>
      </w:r>
      <w:r w:rsidR="007B5074">
        <w:t xml:space="preserve"> with a new 2022 SHLAA</w:t>
      </w:r>
      <w:r>
        <w:t xml:space="preserve"> in line with guidance from Paragraph 68 of</w:t>
      </w:r>
      <w:r w:rsidR="007E5FF1">
        <w:t xml:space="preserve"> the NPPF.</w:t>
      </w:r>
      <w:r w:rsidR="007B5074">
        <w:t xml:space="preserve"> The 2022 SHLAA</w:t>
      </w:r>
      <w:r w:rsidR="00FC6013">
        <w:t xml:space="preserve"> has been published alongside the submission of the Core Strategy Review document to the Planning </w:t>
      </w:r>
      <w:r w:rsidR="00FC6013">
        <w:lastRenderedPageBreak/>
        <w:t>Inspectorate (PINS).</w:t>
      </w:r>
      <w:r w:rsidR="007E5FF1">
        <w:t xml:space="preserve"> This has been to</w:t>
      </w:r>
      <w:r>
        <w:t xml:space="preserve"> </w:t>
      </w:r>
      <w:r w:rsidR="007E5FF1">
        <w:t>assist</w:t>
      </w:r>
      <w:r w:rsidR="00FC6013">
        <w:t xml:space="preserve"> the</w:t>
      </w:r>
      <w:r>
        <w:t xml:space="preserve"> develop</w:t>
      </w:r>
      <w:r w:rsidR="00FC6013">
        <w:t>ment of</w:t>
      </w:r>
      <w:r>
        <w:t xml:space="preserve"> a clear understanding of where available housing land is located around the Borough. Details of the SHLAA (including individual site assessments) can be found on the Council’s website </w:t>
      </w:r>
      <w:r w:rsidR="00FC6013">
        <w:t>alongside other information about the submission of the Core Strategy Review</w:t>
      </w:r>
      <w:r>
        <w:t>.</w:t>
      </w:r>
    </w:p>
    <w:p w14:paraId="5669FB14" w14:textId="77777777" w:rsidR="002E66FE" w:rsidRDefault="002E66FE" w:rsidP="002E66FE">
      <w:pPr>
        <w:ind w:left="720" w:hanging="720"/>
      </w:pPr>
    </w:p>
    <w:p w14:paraId="3AD21FEF" w14:textId="0613F343" w:rsidR="002E66FE" w:rsidRDefault="002E66FE" w:rsidP="002E66FE">
      <w:pPr>
        <w:ind w:left="720" w:hanging="720"/>
      </w:pPr>
      <w:r>
        <w:t>13.</w:t>
      </w:r>
      <w:r>
        <w:tab/>
        <w:t xml:space="preserve">The SHLAA plays a key role in </w:t>
      </w:r>
      <w:r w:rsidR="00FC6013">
        <w:t>taking</w:t>
      </w:r>
      <w:r>
        <w:t xml:space="preserve"> decisions on the status of sites </w:t>
      </w:r>
      <w:r w:rsidR="00FC6013">
        <w:t>which</w:t>
      </w:r>
      <w:r>
        <w:t xml:space="preserve"> display differing levels of potential to accommodate new residential development. Importantly, it has identified a stock of deliverable sites that are expected to yield new housing units at some point within </w:t>
      </w:r>
      <w:r w:rsidR="00FC6013">
        <w:t>the most immediate</w:t>
      </w:r>
      <w:r>
        <w:t xml:space="preserve"> 0-5 year period.</w:t>
      </w:r>
    </w:p>
    <w:p w14:paraId="2A1FDC5B" w14:textId="77777777" w:rsidR="002E66FE" w:rsidRDefault="002E66FE" w:rsidP="002E66FE">
      <w:pPr>
        <w:ind w:left="720" w:hanging="720"/>
      </w:pPr>
    </w:p>
    <w:p w14:paraId="2355624E" w14:textId="0ADCA0C4" w:rsidR="002E66FE" w:rsidRDefault="002E66FE" w:rsidP="002E66FE">
      <w:pPr>
        <w:ind w:left="720" w:hanging="720"/>
      </w:pPr>
      <w:r>
        <w:t>14.</w:t>
      </w:r>
      <w:r>
        <w:tab/>
        <w:t xml:space="preserve">In order to create coordination and consistency across how future housing </w:t>
      </w:r>
      <w:r w:rsidR="00B72D52">
        <w:t>stock is identified</w:t>
      </w:r>
      <w:r>
        <w:t xml:space="preserve">, the Council have worked with other </w:t>
      </w:r>
      <w:r w:rsidR="00B72D52">
        <w:t>authorities from the Nottingham Core Housing Market Area</w:t>
      </w:r>
      <w:r w:rsidR="00FC6013">
        <w:t xml:space="preserve"> (HMA)</w:t>
      </w:r>
      <w:r w:rsidR="00B72D52">
        <w:t xml:space="preserve"> to establish a common methodology on how sites are assessed. Collaborative working with other </w:t>
      </w:r>
      <w:r w:rsidR="00FC6013">
        <w:t>Core HMA</w:t>
      </w:r>
      <w:r w:rsidR="00B72D52">
        <w:t xml:space="preserve"> councils has enabled a more joined-up approach to how elements such as windfall</w:t>
      </w:r>
      <w:r w:rsidR="007E5FF1">
        <w:t xml:space="preserve"> allowances</w:t>
      </w:r>
      <w:r w:rsidR="00B72D52">
        <w:t xml:space="preserve"> and non-implementation (i.e. lapse) rates are incorporated into calculations on each authorities identified land supply. Erewash’s SHLAA methodology</w:t>
      </w:r>
      <w:r w:rsidR="007E5FF1">
        <w:t xml:space="preserve"> and data</w:t>
      </w:r>
      <w:r w:rsidR="00B72D52">
        <w:t xml:space="preserve"> can be accessed </w:t>
      </w:r>
      <w:r w:rsidR="00FC6013">
        <w:t>from the</w:t>
      </w:r>
      <w:r w:rsidR="007E5FF1">
        <w:t xml:space="preserve"> </w:t>
      </w:r>
      <w:r w:rsidR="00B72D52">
        <w:t>Council’s website.</w:t>
      </w:r>
    </w:p>
    <w:p w14:paraId="1DA91C9C" w14:textId="77777777" w:rsidR="00B72D52" w:rsidRDefault="00B72D52" w:rsidP="002E66FE">
      <w:pPr>
        <w:ind w:left="720" w:hanging="720"/>
      </w:pPr>
    </w:p>
    <w:p w14:paraId="7BBB5114" w14:textId="6722A0EF" w:rsidR="00B72D52" w:rsidRDefault="00F17032" w:rsidP="002E66FE">
      <w:pPr>
        <w:ind w:left="720" w:hanging="720"/>
      </w:pPr>
      <w:r>
        <w:t>15.</w:t>
      </w:r>
      <w:r>
        <w:tab/>
        <w:t xml:space="preserve">The 2022 SHLAA, in conjunction with annual residential land monitoring work undertaken by Planning Policy, has identified a total of </w:t>
      </w:r>
      <w:r w:rsidRPr="007839E0">
        <w:rPr>
          <w:b/>
          <w:u w:val="single"/>
        </w:rPr>
        <w:t>815 deliverable housing units</w:t>
      </w:r>
      <w:r>
        <w:t xml:space="preserve">. In line with recommendations on what attributes </w:t>
      </w:r>
      <w:r w:rsidR="00FC6013">
        <w:t>each</w:t>
      </w:r>
      <w:r>
        <w:t xml:space="preserve"> de</w:t>
      </w:r>
      <w:r w:rsidR="00D95183">
        <w:t xml:space="preserve">liverable site is expected </w:t>
      </w:r>
      <w:r>
        <w:t>to demonstrate, the overwhelming majority of these units have a full or outline planning consent – confirming</w:t>
      </w:r>
      <w:r w:rsidR="00D95183">
        <w:t xml:space="preserve"> the</w:t>
      </w:r>
      <w:r>
        <w:t xml:space="preserve"> strong prospects for delivery within a five-year period</w:t>
      </w:r>
      <w:r w:rsidR="00E4335A">
        <w:t xml:space="preserve"> beginning </w:t>
      </w:r>
      <w:r w:rsidR="00FC6013">
        <w:t>from</w:t>
      </w:r>
      <w:r w:rsidR="00E4335A">
        <w:t xml:space="preserve"> April 2022</w:t>
      </w:r>
      <w:r w:rsidR="00FC6013">
        <w:t xml:space="preserve"> and extending to March 2027</w:t>
      </w:r>
      <w:r>
        <w:t>.</w:t>
      </w:r>
    </w:p>
    <w:p w14:paraId="5C22663F" w14:textId="228CFC93" w:rsidR="00F17032" w:rsidRDefault="00F17032" w:rsidP="002E66FE">
      <w:pPr>
        <w:ind w:left="720" w:hanging="720"/>
      </w:pPr>
    </w:p>
    <w:p w14:paraId="15C265AD" w14:textId="77777777" w:rsidR="00C362D0" w:rsidRDefault="00C362D0" w:rsidP="002E66FE">
      <w:pPr>
        <w:ind w:left="720" w:hanging="720"/>
      </w:pPr>
    </w:p>
    <w:p w14:paraId="2EB97400" w14:textId="77777777" w:rsidR="00F17032" w:rsidRDefault="00F17032" w:rsidP="00F17032">
      <w:pPr>
        <w:pStyle w:val="Heading1"/>
      </w:pPr>
      <w:r>
        <w:t>Erewash Core Strategy Review:</w:t>
      </w:r>
    </w:p>
    <w:p w14:paraId="1BA3FA2C" w14:textId="77777777" w:rsidR="00F17032" w:rsidRDefault="00F17032" w:rsidP="00F17032"/>
    <w:p w14:paraId="7CC1191C" w14:textId="0C9B7129" w:rsidR="001D362D" w:rsidRDefault="00F17032" w:rsidP="00E4335A">
      <w:pPr>
        <w:ind w:left="720" w:hanging="720"/>
      </w:pPr>
      <w:r>
        <w:t>16.</w:t>
      </w:r>
      <w:r>
        <w:tab/>
      </w:r>
      <w:r w:rsidR="00E4335A">
        <w:t>As a consequence of an out-of-date Local Plan</w:t>
      </w:r>
      <w:r w:rsidR="006970ED">
        <w:t xml:space="preserve"> (see </w:t>
      </w:r>
      <w:r w:rsidR="006970ED" w:rsidRPr="00BB3C39">
        <w:rPr>
          <w:b/>
        </w:rPr>
        <w:t>5</w:t>
      </w:r>
      <w:r w:rsidR="006970ED">
        <w:t>)</w:t>
      </w:r>
      <w:r w:rsidR="00D35280">
        <w:t xml:space="preserve">, </w:t>
      </w:r>
      <w:r w:rsidR="00E4335A">
        <w:t>a</w:t>
      </w:r>
      <w:r w:rsidR="003A5E97">
        <w:t xml:space="preserve"> concerning</w:t>
      </w:r>
      <w:r w:rsidR="00E4335A">
        <w:t xml:space="preserve"> level of housing delivery presented at </w:t>
      </w:r>
      <w:r w:rsidR="00E4335A" w:rsidRPr="00BB3C39">
        <w:rPr>
          <w:b/>
        </w:rPr>
        <w:t>Table 1</w:t>
      </w:r>
      <w:r w:rsidR="00D35280">
        <w:t xml:space="preserve"> and just in excess of two years’ worth of supply from consented residential schemes</w:t>
      </w:r>
      <w:r w:rsidR="00E4335A">
        <w:t>, there is a pressing need for the Council to address</w:t>
      </w:r>
      <w:r w:rsidR="003A5E97">
        <w:t xml:space="preserve"> longstanding</w:t>
      </w:r>
      <w:r w:rsidR="00E4335A">
        <w:t xml:space="preserve"> underdelivery of new housing in the Borough. This is currently being carried out through a review of the 2014 Core Strategy. A </w:t>
      </w:r>
      <w:r w:rsidR="003A5E97">
        <w:t>replacement</w:t>
      </w:r>
      <w:r w:rsidR="00E4335A">
        <w:t xml:space="preserve"> plan presents an opportunity to review where </w:t>
      </w:r>
      <w:r w:rsidR="001D362D">
        <w:t>sustainable growth is suitable</w:t>
      </w:r>
      <w:r w:rsidR="006970ED">
        <w:t xml:space="preserve"> across</w:t>
      </w:r>
      <w:r w:rsidR="001D362D">
        <w:t xml:space="preserve"> Erewash and put in place a development </w:t>
      </w:r>
      <w:r w:rsidR="006970ED">
        <w:t>framework giving</w:t>
      </w:r>
      <w:r w:rsidR="001D362D">
        <w:t xml:space="preserve"> the Council greater influence over where residential developments</w:t>
      </w:r>
      <w:r w:rsidR="006970ED">
        <w:t xml:space="preserve"> of all </w:t>
      </w:r>
      <w:r w:rsidR="00FC6013">
        <w:t>sizes, both strategic and non-strategic,</w:t>
      </w:r>
      <w:r w:rsidR="006970ED">
        <w:t xml:space="preserve"> should be delivered to meet rising housing needs</w:t>
      </w:r>
      <w:r w:rsidR="001D362D">
        <w:t>.</w:t>
      </w:r>
    </w:p>
    <w:p w14:paraId="16ED510B" w14:textId="77777777" w:rsidR="001D362D" w:rsidRDefault="001D362D" w:rsidP="00E4335A">
      <w:pPr>
        <w:ind w:left="720" w:hanging="720"/>
      </w:pPr>
    </w:p>
    <w:p w14:paraId="294ACEDE" w14:textId="696F5DA9" w:rsidR="001D362D" w:rsidRDefault="001D362D" w:rsidP="00E4335A">
      <w:pPr>
        <w:ind w:left="720" w:hanging="720"/>
      </w:pPr>
      <w:r>
        <w:t>1</w:t>
      </w:r>
      <w:r w:rsidR="006970ED">
        <w:t>7.</w:t>
      </w:r>
      <w:r w:rsidR="006970ED">
        <w:tab/>
        <w:t xml:space="preserve">The 2022 SHLAA confirms </w:t>
      </w:r>
      <w:r>
        <w:t>many brownfield sites within the Borough’s towns and villages are heavily constrained and therefore such locations cannot be</w:t>
      </w:r>
      <w:r w:rsidR="00180370">
        <w:t xml:space="preserve"> realistically</w:t>
      </w:r>
      <w:r>
        <w:t xml:space="preserve"> expected to</w:t>
      </w:r>
      <w:r w:rsidR="006970ED">
        <w:t xml:space="preserve"> contribute heavily to the delivery of</w:t>
      </w:r>
      <w:r>
        <w:t xml:space="preserve"> much-needed new housing over the Core Strategy Review</w:t>
      </w:r>
      <w:r w:rsidR="00180370">
        <w:t>’s</w:t>
      </w:r>
      <w:r>
        <w:t xml:space="preserve"> period (2023-38).</w:t>
      </w:r>
      <w:r w:rsidR="006970ED">
        <w:t xml:space="preserve"> Such circumstances require</w:t>
      </w:r>
      <w:r>
        <w:t xml:space="preserve"> the Council to consider strategic-scale housing growth beyond</w:t>
      </w:r>
      <w:r w:rsidR="006970ED">
        <w:t xml:space="preserve"> the settlement boundaries of its</w:t>
      </w:r>
      <w:r>
        <w:t xml:space="preserve"> town and village</w:t>
      </w:r>
      <w:r w:rsidR="006970ED">
        <w:t>s</w:t>
      </w:r>
      <w:r w:rsidR="00180370">
        <w:t xml:space="preserve"> extending</w:t>
      </w:r>
      <w:r w:rsidR="006970ED">
        <w:t xml:space="preserve"> out</w:t>
      </w:r>
      <w:r>
        <w:t xml:space="preserve"> in</w:t>
      </w:r>
      <w:r w:rsidR="00180370">
        <w:t>to</w:t>
      </w:r>
      <w:r>
        <w:t xml:space="preserve"> the Nottingham and Derby Green Belt.</w:t>
      </w:r>
    </w:p>
    <w:p w14:paraId="35EED325" w14:textId="77777777" w:rsidR="001D362D" w:rsidRDefault="001D362D" w:rsidP="00E4335A">
      <w:pPr>
        <w:ind w:left="720" w:hanging="720"/>
      </w:pPr>
    </w:p>
    <w:p w14:paraId="42CFBAAC" w14:textId="75E75BA1" w:rsidR="003A5E97" w:rsidRDefault="001D362D" w:rsidP="00180370">
      <w:pPr>
        <w:ind w:left="720" w:hanging="720"/>
      </w:pPr>
      <w:r>
        <w:t>18.</w:t>
      </w:r>
      <w:r>
        <w:tab/>
        <w:t>T</w:t>
      </w:r>
      <w:r w:rsidR="003A5E97">
        <w:t xml:space="preserve">he justification for </w:t>
      </w:r>
      <w:r w:rsidR="006970ED">
        <w:t>development</w:t>
      </w:r>
      <w:r w:rsidR="003A5E97">
        <w:t xml:space="preserve"> in the Green Belt</w:t>
      </w:r>
      <w:r>
        <w:t xml:space="preserve"> can be found within the Core Strategy Review and</w:t>
      </w:r>
      <w:r w:rsidR="00180370">
        <w:t xml:space="preserve"> its</w:t>
      </w:r>
      <w:r w:rsidR="003A5E97">
        <w:t xml:space="preserve"> </w:t>
      </w:r>
      <w:r>
        <w:t>supporting documents</w:t>
      </w:r>
      <w:r w:rsidR="006970ED">
        <w:t xml:space="preserve"> -</w:t>
      </w:r>
      <w:r>
        <w:t xml:space="preserve"> so </w:t>
      </w:r>
      <w:r w:rsidR="00180370">
        <w:t>there is no need to repeat these factors within</w:t>
      </w:r>
      <w:r>
        <w:t xml:space="preserve"> t</w:t>
      </w:r>
      <w:r w:rsidR="003A5E97">
        <w:t>h</w:t>
      </w:r>
      <w:r w:rsidR="00180370">
        <w:t>e</w:t>
      </w:r>
      <w:r w:rsidR="003A5E97">
        <w:t xml:space="preserve"> </w:t>
      </w:r>
      <w:r w:rsidR="006970ED">
        <w:t>positio</w:t>
      </w:r>
      <w:r w:rsidR="003A5E97">
        <w:t>n paper. Notwithstanding this, it is important to</w:t>
      </w:r>
      <w:r w:rsidR="006970ED">
        <w:t xml:space="preserve"> show how</w:t>
      </w:r>
      <w:r>
        <w:t xml:space="preserve"> hous</w:t>
      </w:r>
      <w:r w:rsidR="006970ED">
        <w:t>ing</w:t>
      </w:r>
      <w:r>
        <w:t xml:space="preserve"> from </w:t>
      </w:r>
      <w:r w:rsidR="00180370">
        <w:t xml:space="preserve">the </w:t>
      </w:r>
      <w:r>
        <w:t>four strategic</w:t>
      </w:r>
      <w:r w:rsidR="006970ED">
        <w:t xml:space="preserve"> allocation</w:t>
      </w:r>
      <w:r>
        <w:t xml:space="preserve"> sites</w:t>
      </w:r>
      <w:r w:rsidR="00180370">
        <w:t xml:space="preserve"> currently within the Green Belt</w:t>
      </w:r>
      <w:r w:rsidR="003A5E97">
        <w:t xml:space="preserve"> </w:t>
      </w:r>
      <w:r w:rsidR="006970ED">
        <w:lastRenderedPageBreak/>
        <w:t>contribute</w:t>
      </w:r>
      <w:r w:rsidR="003A5E97">
        <w:t>s</w:t>
      </w:r>
      <w:r w:rsidR="006970ED">
        <w:t xml:space="preserve"> to the Borough’s overall supply of</w:t>
      </w:r>
      <w:r w:rsidR="003A5E97">
        <w:t xml:space="preserve"> deliverable</w:t>
      </w:r>
      <w:r w:rsidR="006970ED">
        <w:t xml:space="preserve"> housing land.</w:t>
      </w:r>
      <w:r w:rsidR="003A5E97">
        <w:t xml:space="preserve"> </w:t>
      </w:r>
      <w:r w:rsidR="003A5E97" w:rsidRPr="00BB3C39">
        <w:rPr>
          <w:b/>
        </w:rPr>
        <w:t>Table 3</w:t>
      </w:r>
      <w:r w:rsidR="003A5E97">
        <w:t xml:space="preserve"> below shows when the Council anticipates the delivery of new housing units at the four sites.</w:t>
      </w:r>
      <w:r w:rsidR="00180370">
        <w:t xml:space="preserve"> A fifth site, Stanton South, is not included owing to its assessed delivery falling outside of the five-year period.</w:t>
      </w:r>
    </w:p>
    <w:p w14:paraId="47B337B5" w14:textId="77777777" w:rsidR="009F6921" w:rsidRDefault="009F6921" w:rsidP="00180370">
      <w:pPr>
        <w:ind w:left="720" w:hanging="720"/>
      </w:pPr>
    </w:p>
    <w:p w14:paraId="36393FD0" w14:textId="77777777" w:rsidR="003A5E97" w:rsidRDefault="003A5E97" w:rsidP="003A5E97">
      <w:pPr>
        <w:pStyle w:val="Heading1"/>
      </w:pPr>
      <w:r>
        <w:t>Table 3:</w:t>
      </w:r>
      <w:r w:rsidR="00BB3C39">
        <w:t xml:space="preserve"> Delivery from strategic allocation sites</w:t>
      </w:r>
    </w:p>
    <w:tbl>
      <w:tblPr>
        <w:tblStyle w:val="TableGrid"/>
        <w:tblW w:w="0" w:type="auto"/>
        <w:tblLook w:val="04A0" w:firstRow="1" w:lastRow="0" w:firstColumn="1" w:lastColumn="0" w:noHBand="0" w:noVBand="1"/>
        <w:tblCaption w:val="Table 3"/>
        <w:tblDescription w:val="Housing delivery from strategic allocation sites"/>
      </w:tblPr>
      <w:tblGrid>
        <w:gridCol w:w="1288"/>
        <w:gridCol w:w="1288"/>
        <w:gridCol w:w="1288"/>
        <w:gridCol w:w="1288"/>
        <w:gridCol w:w="1288"/>
        <w:gridCol w:w="1288"/>
        <w:gridCol w:w="1288"/>
      </w:tblGrid>
      <w:tr w:rsidR="00D35280" w14:paraId="77A6063B" w14:textId="77777777" w:rsidTr="009F6921">
        <w:trPr>
          <w:cantSplit/>
          <w:tblHeader/>
        </w:trPr>
        <w:tc>
          <w:tcPr>
            <w:tcW w:w="1288" w:type="dxa"/>
          </w:tcPr>
          <w:p w14:paraId="4D51D48C" w14:textId="77777777" w:rsidR="003A5E97" w:rsidRPr="007839E0" w:rsidRDefault="003A5E97" w:rsidP="003A5E97">
            <w:pPr>
              <w:pStyle w:val="Heading1"/>
              <w:rPr>
                <w:sz w:val="22"/>
                <w:szCs w:val="22"/>
              </w:rPr>
            </w:pPr>
            <w:r w:rsidRPr="007839E0">
              <w:rPr>
                <w:sz w:val="22"/>
                <w:szCs w:val="22"/>
              </w:rPr>
              <w:t>Site</w:t>
            </w:r>
          </w:p>
        </w:tc>
        <w:tc>
          <w:tcPr>
            <w:tcW w:w="1288" w:type="dxa"/>
          </w:tcPr>
          <w:p w14:paraId="5753CB5C" w14:textId="77777777" w:rsidR="003A5E97" w:rsidRPr="007839E0" w:rsidRDefault="00D35280" w:rsidP="003A5E97">
            <w:pPr>
              <w:pStyle w:val="Heading1"/>
              <w:rPr>
                <w:sz w:val="22"/>
                <w:szCs w:val="22"/>
              </w:rPr>
            </w:pPr>
            <w:r w:rsidRPr="007839E0">
              <w:rPr>
                <w:sz w:val="22"/>
                <w:szCs w:val="22"/>
              </w:rPr>
              <w:t>Year 1 (22-23)</w:t>
            </w:r>
          </w:p>
        </w:tc>
        <w:tc>
          <w:tcPr>
            <w:tcW w:w="1288" w:type="dxa"/>
          </w:tcPr>
          <w:p w14:paraId="44AD73B8" w14:textId="77777777" w:rsidR="003A5E97" w:rsidRPr="007839E0" w:rsidRDefault="00D35280" w:rsidP="003A5E97">
            <w:pPr>
              <w:pStyle w:val="Heading1"/>
              <w:rPr>
                <w:sz w:val="22"/>
                <w:szCs w:val="22"/>
              </w:rPr>
            </w:pPr>
            <w:r w:rsidRPr="007839E0">
              <w:rPr>
                <w:sz w:val="22"/>
                <w:szCs w:val="22"/>
              </w:rPr>
              <w:t>Year 2 (23-24)</w:t>
            </w:r>
          </w:p>
        </w:tc>
        <w:tc>
          <w:tcPr>
            <w:tcW w:w="1288" w:type="dxa"/>
          </w:tcPr>
          <w:p w14:paraId="4D3D37E1" w14:textId="77777777" w:rsidR="003A5E97" w:rsidRPr="007839E0" w:rsidRDefault="00D35280" w:rsidP="003A5E97">
            <w:pPr>
              <w:pStyle w:val="Heading1"/>
              <w:rPr>
                <w:sz w:val="22"/>
                <w:szCs w:val="22"/>
              </w:rPr>
            </w:pPr>
            <w:r w:rsidRPr="007839E0">
              <w:rPr>
                <w:sz w:val="22"/>
                <w:szCs w:val="22"/>
              </w:rPr>
              <w:t>Year 3 (24-25)</w:t>
            </w:r>
          </w:p>
        </w:tc>
        <w:tc>
          <w:tcPr>
            <w:tcW w:w="1288" w:type="dxa"/>
          </w:tcPr>
          <w:p w14:paraId="40958B01" w14:textId="77777777" w:rsidR="003A5E97" w:rsidRPr="007839E0" w:rsidRDefault="00D35280" w:rsidP="003A5E97">
            <w:pPr>
              <w:pStyle w:val="Heading1"/>
              <w:rPr>
                <w:sz w:val="22"/>
                <w:szCs w:val="22"/>
              </w:rPr>
            </w:pPr>
            <w:r w:rsidRPr="007839E0">
              <w:rPr>
                <w:sz w:val="22"/>
                <w:szCs w:val="22"/>
              </w:rPr>
              <w:t>Year 4 (25-26)</w:t>
            </w:r>
          </w:p>
        </w:tc>
        <w:tc>
          <w:tcPr>
            <w:tcW w:w="1288" w:type="dxa"/>
          </w:tcPr>
          <w:p w14:paraId="44027E27" w14:textId="77777777" w:rsidR="003A5E97" w:rsidRPr="007839E0" w:rsidRDefault="00D35280" w:rsidP="003A5E97">
            <w:pPr>
              <w:pStyle w:val="Heading1"/>
              <w:rPr>
                <w:sz w:val="22"/>
                <w:szCs w:val="22"/>
              </w:rPr>
            </w:pPr>
            <w:r w:rsidRPr="007839E0">
              <w:rPr>
                <w:sz w:val="22"/>
                <w:szCs w:val="22"/>
              </w:rPr>
              <w:t>Year 5 (26-27)</w:t>
            </w:r>
          </w:p>
        </w:tc>
        <w:tc>
          <w:tcPr>
            <w:tcW w:w="1288" w:type="dxa"/>
          </w:tcPr>
          <w:p w14:paraId="2EAE8160" w14:textId="77777777" w:rsidR="003A5E97" w:rsidRPr="007839E0" w:rsidRDefault="007839E0" w:rsidP="003A5E97">
            <w:pPr>
              <w:pStyle w:val="Heading1"/>
              <w:rPr>
                <w:sz w:val="22"/>
                <w:szCs w:val="22"/>
              </w:rPr>
            </w:pPr>
            <w:r>
              <w:rPr>
                <w:sz w:val="22"/>
                <w:szCs w:val="22"/>
              </w:rPr>
              <w:t>Site t</w:t>
            </w:r>
            <w:r w:rsidR="00D35280" w:rsidRPr="007839E0">
              <w:rPr>
                <w:sz w:val="22"/>
                <w:szCs w:val="22"/>
              </w:rPr>
              <w:t>otal</w:t>
            </w:r>
          </w:p>
        </w:tc>
      </w:tr>
      <w:tr w:rsidR="00D35280" w14:paraId="24A27564" w14:textId="77777777" w:rsidTr="009F6921">
        <w:trPr>
          <w:cantSplit/>
          <w:tblHeader/>
        </w:trPr>
        <w:tc>
          <w:tcPr>
            <w:tcW w:w="1288" w:type="dxa"/>
          </w:tcPr>
          <w:p w14:paraId="3749F4C7" w14:textId="77777777" w:rsidR="003A5E97" w:rsidRPr="007839E0" w:rsidRDefault="00D35280" w:rsidP="003A5E97">
            <w:pPr>
              <w:pStyle w:val="Heading1"/>
              <w:rPr>
                <w:sz w:val="22"/>
                <w:szCs w:val="22"/>
              </w:rPr>
            </w:pPr>
            <w:r w:rsidRPr="007839E0">
              <w:rPr>
                <w:sz w:val="22"/>
                <w:szCs w:val="22"/>
              </w:rPr>
              <w:t>SGA1</w:t>
            </w:r>
            <w:r w:rsidR="007839E0">
              <w:rPr>
                <w:sz w:val="22"/>
                <w:szCs w:val="22"/>
              </w:rPr>
              <w:t>: Acorn Way</w:t>
            </w:r>
          </w:p>
        </w:tc>
        <w:tc>
          <w:tcPr>
            <w:tcW w:w="1288" w:type="dxa"/>
          </w:tcPr>
          <w:p w14:paraId="2B404D23" w14:textId="77777777" w:rsidR="003A5E97" w:rsidRPr="007839E0" w:rsidRDefault="00D35280" w:rsidP="003A5E97">
            <w:pPr>
              <w:pStyle w:val="Heading1"/>
              <w:rPr>
                <w:b w:val="0"/>
                <w:sz w:val="22"/>
                <w:szCs w:val="22"/>
              </w:rPr>
            </w:pPr>
            <w:r w:rsidRPr="007839E0">
              <w:rPr>
                <w:b w:val="0"/>
                <w:sz w:val="22"/>
                <w:szCs w:val="22"/>
              </w:rPr>
              <w:t>0</w:t>
            </w:r>
          </w:p>
        </w:tc>
        <w:tc>
          <w:tcPr>
            <w:tcW w:w="1288" w:type="dxa"/>
          </w:tcPr>
          <w:p w14:paraId="5CDBFF32" w14:textId="77777777" w:rsidR="003A5E97" w:rsidRPr="007839E0" w:rsidRDefault="00D35280" w:rsidP="003A5E97">
            <w:pPr>
              <w:pStyle w:val="Heading1"/>
              <w:rPr>
                <w:b w:val="0"/>
                <w:sz w:val="22"/>
                <w:szCs w:val="22"/>
              </w:rPr>
            </w:pPr>
            <w:r w:rsidRPr="007839E0">
              <w:rPr>
                <w:b w:val="0"/>
                <w:sz w:val="22"/>
                <w:szCs w:val="22"/>
              </w:rPr>
              <w:t>0</w:t>
            </w:r>
          </w:p>
        </w:tc>
        <w:tc>
          <w:tcPr>
            <w:tcW w:w="1288" w:type="dxa"/>
          </w:tcPr>
          <w:p w14:paraId="7EDA05F0" w14:textId="77777777" w:rsidR="003A5E97" w:rsidRPr="007839E0" w:rsidRDefault="00D35280" w:rsidP="003A5E97">
            <w:pPr>
              <w:pStyle w:val="Heading1"/>
              <w:rPr>
                <w:b w:val="0"/>
                <w:sz w:val="22"/>
                <w:szCs w:val="22"/>
              </w:rPr>
            </w:pPr>
            <w:r w:rsidRPr="007839E0">
              <w:rPr>
                <w:b w:val="0"/>
                <w:sz w:val="22"/>
                <w:szCs w:val="22"/>
              </w:rPr>
              <w:t>50</w:t>
            </w:r>
          </w:p>
        </w:tc>
        <w:tc>
          <w:tcPr>
            <w:tcW w:w="1288" w:type="dxa"/>
          </w:tcPr>
          <w:p w14:paraId="0D22D428" w14:textId="77777777" w:rsidR="003A5E97" w:rsidRPr="007839E0" w:rsidRDefault="00D35280" w:rsidP="003A5E97">
            <w:pPr>
              <w:pStyle w:val="Heading1"/>
              <w:rPr>
                <w:b w:val="0"/>
                <w:sz w:val="22"/>
                <w:szCs w:val="22"/>
              </w:rPr>
            </w:pPr>
            <w:r w:rsidRPr="007839E0">
              <w:rPr>
                <w:b w:val="0"/>
                <w:sz w:val="22"/>
                <w:szCs w:val="22"/>
              </w:rPr>
              <w:t>100</w:t>
            </w:r>
          </w:p>
        </w:tc>
        <w:tc>
          <w:tcPr>
            <w:tcW w:w="1288" w:type="dxa"/>
          </w:tcPr>
          <w:p w14:paraId="0C31C1B3" w14:textId="77777777" w:rsidR="003A5E97" w:rsidRPr="007839E0" w:rsidRDefault="00D35280" w:rsidP="003A5E97">
            <w:pPr>
              <w:pStyle w:val="Heading1"/>
              <w:rPr>
                <w:b w:val="0"/>
                <w:sz w:val="22"/>
                <w:szCs w:val="22"/>
              </w:rPr>
            </w:pPr>
            <w:r w:rsidRPr="007839E0">
              <w:rPr>
                <w:b w:val="0"/>
                <w:sz w:val="22"/>
                <w:szCs w:val="22"/>
              </w:rPr>
              <w:t>100</w:t>
            </w:r>
          </w:p>
        </w:tc>
        <w:tc>
          <w:tcPr>
            <w:tcW w:w="1288" w:type="dxa"/>
          </w:tcPr>
          <w:p w14:paraId="6BE0A839" w14:textId="77777777" w:rsidR="003A5E97" w:rsidRPr="007839E0" w:rsidRDefault="00D35280" w:rsidP="003A5E97">
            <w:pPr>
              <w:pStyle w:val="Heading1"/>
              <w:rPr>
                <w:sz w:val="22"/>
                <w:szCs w:val="22"/>
              </w:rPr>
            </w:pPr>
            <w:r w:rsidRPr="007839E0">
              <w:rPr>
                <w:sz w:val="22"/>
                <w:szCs w:val="22"/>
              </w:rPr>
              <w:t>250</w:t>
            </w:r>
          </w:p>
        </w:tc>
      </w:tr>
      <w:tr w:rsidR="00D35280" w14:paraId="2F33CBD6" w14:textId="77777777" w:rsidTr="009F6921">
        <w:trPr>
          <w:cantSplit/>
          <w:tblHeader/>
        </w:trPr>
        <w:tc>
          <w:tcPr>
            <w:tcW w:w="1288" w:type="dxa"/>
          </w:tcPr>
          <w:p w14:paraId="077E3959" w14:textId="77777777" w:rsidR="003A5E97" w:rsidRPr="007839E0" w:rsidRDefault="00D35280" w:rsidP="003A5E97">
            <w:pPr>
              <w:pStyle w:val="Heading1"/>
              <w:rPr>
                <w:sz w:val="22"/>
                <w:szCs w:val="22"/>
              </w:rPr>
            </w:pPr>
            <w:r w:rsidRPr="007839E0">
              <w:rPr>
                <w:sz w:val="22"/>
                <w:szCs w:val="22"/>
              </w:rPr>
              <w:t>SGA7</w:t>
            </w:r>
            <w:r w:rsidR="007839E0">
              <w:rPr>
                <w:sz w:val="22"/>
                <w:szCs w:val="22"/>
              </w:rPr>
              <w:t xml:space="preserve">: </w:t>
            </w:r>
            <w:proofErr w:type="spellStart"/>
            <w:r w:rsidR="007839E0">
              <w:rPr>
                <w:sz w:val="22"/>
                <w:szCs w:val="22"/>
              </w:rPr>
              <w:t>C’hay</w:t>
            </w:r>
            <w:proofErr w:type="spellEnd"/>
          </w:p>
        </w:tc>
        <w:tc>
          <w:tcPr>
            <w:tcW w:w="1288" w:type="dxa"/>
          </w:tcPr>
          <w:p w14:paraId="106AD1C5" w14:textId="77777777" w:rsidR="003A5E97" w:rsidRPr="007839E0" w:rsidRDefault="00D35280" w:rsidP="003A5E97">
            <w:pPr>
              <w:pStyle w:val="Heading1"/>
              <w:rPr>
                <w:b w:val="0"/>
                <w:sz w:val="22"/>
                <w:szCs w:val="22"/>
              </w:rPr>
            </w:pPr>
            <w:r w:rsidRPr="007839E0">
              <w:rPr>
                <w:b w:val="0"/>
                <w:sz w:val="22"/>
                <w:szCs w:val="22"/>
              </w:rPr>
              <w:t>0</w:t>
            </w:r>
          </w:p>
        </w:tc>
        <w:tc>
          <w:tcPr>
            <w:tcW w:w="1288" w:type="dxa"/>
          </w:tcPr>
          <w:p w14:paraId="6CFE1C26" w14:textId="77777777" w:rsidR="003A5E97" w:rsidRPr="007839E0" w:rsidRDefault="00D35280" w:rsidP="003A5E97">
            <w:pPr>
              <w:pStyle w:val="Heading1"/>
              <w:rPr>
                <w:b w:val="0"/>
                <w:sz w:val="22"/>
                <w:szCs w:val="22"/>
              </w:rPr>
            </w:pPr>
            <w:r w:rsidRPr="007839E0">
              <w:rPr>
                <w:b w:val="0"/>
                <w:sz w:val="22"/>
                <w:szCs w:val="22"/>
              </w:rPr>
              <w:t>0</w:t>
            </w:r>
          </w:p>
        </w:tc>
        <w:tc>
          <w:tcPr>
            <w:tcW w:w="1288" w:type="dxa"/>
          </w:tcPr>
          <w:p w14:paraId="6B8AD6BD" w14:textId="77777777" w:rsidR="003A5E97" w:rsidRPr="007839E0" w:rsidRDefault="00D35280" w:rsidP="003A5E97">
            <w:pPr>
              <w:pStyle w:val="Heading1"/>
              <w:rPr>
                <w:b w:val="0"/>
                <w:sz w:val="22"/>
                <w:szCs w:val="22"/>
              </w:rPr>
            </w:pPr>
            <w:r w:rsidRPr="007839E0">
              <w:rPr>
                <w:b w:val="0"/>
                <w:sz w:val="22"/>
                <w:szCs w:val="22"/>
              </w:rPr>
              <w:t>50</w:t>
            </w:r>
          </w:p>
        </w:tc>
        <w:tc>
          <w:tcPr>
            <w:tcW w:w="1288" w:type="dxa"/>
          </w:tcPr>
          <w:p w14:paraId="485CF118" w14:textId="77777777" w:rsidR="003A5E97" w:rsidRPr="007839E0" w:rsidRDefault="00D35280" w:rsidP="003A5E97">
            <w:pPr>
              <w:pStyle w:val="Heading1"/>
              <w:rPr>
                <w:b w:val="0"/>
                <w:sz w:val="22"/>
                <w:szCs w:val="22"/>
              </w:rPr>
            </w:pPr>
            <w:r w:rsidRPr="007839E0">
              <w:rPr>
                <w:b w:val="0"/>
                <w:sz w:val="22"/>
                <w:szCs w:val="22"/>
              </w:rPr>
              <w:t>100</w:t>
            </w:r>
          </w:p>
        </w:tc>
        <w:tc>
          <w:tcPr>
            <w:tcW w:w="1288" w:type="dxa"/>
          </w:tcPr>
          <w:p w14:paraId="3099F6DE" w14:textId="77777777" w:rsidR="003A5E97" w:rsidRPr="007839E0" w:rsidRDefault="00D35280" w:rsidP="003A5E97">
            <w:pPr>
              <w:pStyle w:val="Heading1"/>
              <w:rPr>
                <w:b w:val="0"/>
                <w:sz w:val="22"/>
                <w:szCs w:val="22"/>
              </w:rPr>
            </w:pPr>
            <w:r w:rsidRPr="007839E0">
              <w:rPr>
                <w:b w:val="0"/>
                <w:sz w:val="22"/>
                <w:szCs w:val="22"/>
              </w:rPr>
              <w:t>100</w:t>
            </w:r>
          </w:p>
        </w:tc>
        <w:tc>
          <w:tcPr>
            <w:tcW w:w="1288" w:type="dxa"/>
          </w:tcPr>
          <w:p w14:paraId="1DA071A0" w14:textId="77777777" w:rsidR="003A5E97" w:rsidRPr="007839E0" w:rsidRDefault="00D35280" w:rsidP="003A5E97">
            <w:pPr>
              <w:pStyle w:val="Heading1"/>
              <w:rPr>
                <w:sz w:val="22"/>
                <w:szCs w:val="22"/>
              </w:rPr>
            </w:pPr>
            <w:r w:rsidRPr="007839E0">
              <w:rPr>
                <w:sz w:val="22"/>
                <w:szCs w:val="22"/>
              </w:rPr>
              <w:t>250</w:t>
            </w:r>
          </w:p>
        </w:tc>
      </w:tr>
      <w:tr w:rsidR="00D35280" w14:paraId="62B51171" w14:textId="77777777" w:rsidTr="009F6921">
        <w:trPr>
          <w:cantSplit/>
          <w:tblHeader/>
        </w:trPr>
        <w:tc>
          <w:tcPr>
            <w:tcW w:w="1288" w:type="dxa"/>
          </w:tcPr>
          <w:p w14:paraId="711F99DF" w14:textId="77777777" w:rsidR="003A5E97" w:rsidRPr="007839E0" w:rsidRDefault="00D35280" w:rsidP="003A5E97">
            <w:pPr>
              <w:pStyle w:val="Heading1"/>
              <w:rPr>
                <w:sz w:val="22"/>
                <w:szCs w:val="22"/>
              </w:rPr>
            </w:pPr>
            <w:r w:rsidRPr="007839E0">
              <w:rPr>
                <w:sz w:val="22"/>
                <w:szCs w:val="22"/>
              </w:rPr>
              <w:t>SGA25</w:t>
            </w:r>
            <w:r w:rsidR="007839E0">
              <w:rPr>
                <w:sz w:val="22"/>
                <w:szCs w:val="22"/>
              </w:rPr>
              <w:t>: SW Kirk Hallam</w:t>
            </w:r>
          </w:p>
        </w:tc>
        <w:tc>
          <w:tcPr>
            <w:tcW w:w="1288" w:type="dxa"/>
          </w:tcPr>
          <w:p w14:paraId="645EE4A3" w14:textId="77777777" w:rsidR="003A5E97" w:rsidRPr="007839E0" w:rsidRDefault="00D35280" w:rsidP="003A5E97">
            <w:pPr>
              <w:pStyle w:val="Heading1"/>
              <w:rPr>
                <w:b w:val="0"/>
                <w:sz w:val="22"/>
                <w:szCs w:val="22"/>
              </w:rPr>
            </w:pPr>
            <w:r w:rsidRPr="007839E0">
              <w:rPr>
                <w:b w:val="0"/>
                <w:sz w:val="22"/>
                <w:szCs w:val="22"/>
              </w:rPr>
              <w:t>0</w:t>
            </w:r>
          </w:p>
        </w:tc>
        <w:tc>
          <w:tcPr>
            <w:tcW w:w="1288" w:type="dxa"/>
          </w:tcPr>
          <w:p w14:paraId="27763F52" w14:textId="77777777" w:rsidR="003A5E97" w:rsidRPr="007839E0" w:rsidRDefault="00D35280" w:rsidP="003A5E97">
            <w:pPr>
              <w:pStyle w:val="Heading1"/>
              <w:rPr>
                <w:b w:val="0"/>
                <w:sz w:val="22"/>
                <w:szCs w:val="22"/>
              </w:rPr>
            </w:pPr>
            <w:r w:rsidRPr="007839E0">
              <w:rPr>
                <w:b w:val="0"/>
                <w:sz w:val="22"/>
                <w:szCs w:val="22"/>
              </w:rPr>
              <w:t>0</w:t>
            </w:r>
          </w:p>
        </w:tc>
        <w:tc>
          <w:tcPr>
            <w:tcW w:w="1288" w:type="dxa"/>
          </w:tcPr>
          <w:p w14:paraId="7E67FB29" w14:textId="77777777" w:rsidR="003A5E97" w:rsidRPr="007839E0" w:rsidRDefault="00D35280" w:rsidP="003A5E97">
            <w:pPr>
              <w:pStyle w:val="Heading1"/>
              <w:rPr>
                <w:b w:val="0"/>
                <w:sz w:val="22"/>
                <w:szCs w:val="22"/>
              </w:rPr>
            </w:pPr>
            <w:r w:rsidRPr="007839E0">
              <w:rPr>
                <w:b w:val="0"/>
                <w:sz w:val="22"/>
                <w:szCs w:val="22"/>
              </w:rPr>
              <w:t>40</w:t>
            </w:r>
          </w:p>
        </w:tc>
        <w:tc>
          <w:tcPr>
            <w:tcW w:w="1288" w:type="dxa"/>
          </w:tcPr>
          <w:p w14:paraId="761B53F2" w14:textId="77777777" w:rsidR="003A5E97" w:rsidRPr="007839E0" w:rsidRDefault="00D35280" w:rsidP="003A5E97">
            <w:pPr>
              <w:pStyle w:val="Heading1"/>
              <w:rPr>
                <w:b w:val="0"/>
                <w:sz w:val="22"/>
                <w:szCs w:val="22"/>
              </w:rPr>
            </w:pPr>
            <w:r w:rsidRPr="007839E0">
              <w:rPr>
                <w:b w:val="0"/>
                <w:sz w:val="22"/>
                <w:szCs w:val="22"/>
              </w:rPr>
              <w:t>120</w:t>
            </w:r>
          </w:p>
        </w:tc>
        <w:tc>
          <w:tcPr>
            <w:tcW w:w="1288" w:type="dxa"/>
          </w:tcPr>
          <w:p w14:paraId="11705517" w14:textId="77777777" w:rsidR="003A5E97" w:rsidRPr="007839E0" w:rsidRDefault="00D35280" w:rsidP="003A5E97">
            <w:pPr>
              <w:pStyle w:val="Heading1"/>
              <w:rPr>
                <w:b w:val="0"/>
                <w:sz w:val="22"/>
                <w:szCs w:val="22"/>
              </w:rPr>
            </w:pPr>
            <w:r w:rsidRPr="007839E0">
              <w:rPr>
                <w:b w:val="0"/>
                <w:sz w:val="22"/>
                <w:szCs w:val="22"/>
              </w:rPr>
              <w:t>120</w:t>
            </w:r>
          </w:p>
        </w:tc>
        <w:tc>
          <w:tcPr>
            <w:tcW w:w="1288" w:type="dxa"/>
          </w:tcPr>
          <w:p w14:paraId="1D7D15AB" w14:textId="77777777" w:rsidR="003A5E97" w:rsidRPr="007839E0" w:rsidRDefault="00D35280" w:rsidP="003A5E97">
            <w:pPr>
              <w:pStyle w:val="Heading1"/>
              <w:rPr>
                <w:sz w:val="22"/>
                <w:szCs w:val="22"/>
              </w:rPr>
            </w:pPr>
            <w:r w:rsidRPr="007839E0">
              <w:rPr>
                <w:sz w:val="22"/>
                <w:szCs w:val="22"/>
              </w:rPr>
              <w:t>280</w:t>
            </w:r>
          </w:p>
        </w:tc>
      </w:tr>
      <w:tr w:rsidR="00D35280" w14:paraId="642048E2" w14:textId="77777777" w:rsidTr="009F6921">
        <w:trPr>
          <w:cantSplit/>
          <w:tblHeader/>
        </w:trPr>
        <w:tc>
          <w:tcPr>
            <w:tcW w:w="1288" w:type="dxa"/>
          </w:tcPr>
          <w:p w14:paraId="576B1176" w14:textId="77777777" w:rsidR="003A5E97" w:rsidRPr="007839E0" w:rsidRDefault="00D35280" w:rsidP="003A5E97">
            <w:pPr>
              <w:pStyle w:val="Heading1"/>
              <w:rPr>
                <w:sz w:val="22"/>
                <w:szCs w:val="22"/>
              </w:rPr>
            </w:pPr>
            <w:r w:rsidRPr="007839E0">
              <w:rPr>
                <w:sz w:val="22"/>
                <w:szCs w:val="22"/>
              </w:rPr>
              <w:t>SGA26</w:t>
            </w:r>
            <w:r w:rsidR="007839E0">
              <w:rPr>
                <w:sz w:val="22"/>
                <w:szCs w:val="22"/>
              </w:rPr>
              <w:t>: Nth of Spondon</w:t>
            </w:r>
          </w:p>
        </w:tc>
        <w:tc>
          <w:tcPr>
            <w:tcW w:w="1288" w:type="dxa"/>
          </w:tcPr>
          <w:p w14:paraId="4189CDE9" w14:textId="77777777" w:rsidR="003A5E97" w:rsidRPr="007839E0" w:rsidRDefault="00D35280" w:rsidP="003A5E97">
            <w:pPr>
              <w:pStyle w:val="Heading1"/>
              <w:rPr>
                <w:b w:val="0"/>
                <w:sz w:val="22"/>
                <w:szCs w:val="22"/>
              </w:rPr>
            </w:pPr>
            <w:r w:rsidRPr="007839E0">
              <w:rPr>
                <w:b w:val="0"/>
                <w:sz w:val="22"/>
                <w:szCs w:val="22"/>
              </w:rPr>
              <w:t>0</w:t>
            </w:r>
          </w:p>
        </w:tc>
        <w:tc>
          <w:tcPr>
            <w:tcW w:w="1288" w:type="dxa"/>
          </w:tcPr>
          <w:p w14:paraId="5EAD28A7" w14:textId="77777777" w:rsidR="003A5E97" w:rsidRPr="007839E0" w:rsidRDefault="00D35280" w:rsidP="003A5E97">
            <w:pPr>
              <w:pStyle w:val="Heading1"/>
              <w:rPr>
                <w:b w:val="0"/>
                <w:sz w:val="22"/>
                <w:szCs w:val="22"/>
              </w:rPr>
            </w:pPr>
            <w:r w:rsidRPr="007839E0">
              <w:rPr>
                <w:b w:val="0"/>
                <w:sz w:val="22"/>
                <w:szCs w:val="22"/>
              </w:rPr>
              <w:t>0</w:t>
            </w:r>
          </w:p>
        </w:tc>
        <w:tc>
          <w:tcPr>
            <w:tcW w:w="1288" w:type="dxa"/>
          </w:tcPr>
          <w:p w14:paraId="33FD73AC" w14:textId="77777777" w:rsidR="003A5E97" w:rsidRPr="007839E0" w:rsidRDefault="00D35280" w:rsidP="003A5E97">
            <w:pPr>
              <w:pStyle w:val="Heading1"/>
              <w:rPr>
                <w:b w:val="0"/>
                <w:sz w:val="22"/>
                <w:szCs w:val="22"/>
              </w:rPr>
            </w:pPr>
            <w:r w:rsidRPr="007839E0">
              <w:rPr>
                <w:b w:val="0"/>
                <w:sz w:val="22"/>
                <w:szCs w:val="22"/>
              </w:rPr>
              <w:t>60</w:t>
            </w:r>
          </w:p>
        </w:tc>
        <w:tc>
          <w:tcPr>
            <w:tcW w:w="1288" w:type="dxa"/>
          </w:tcPr>
          <w:p w14:paraId="1D4B61A2" w14:textId="77777777" w:rsidR="003A5E97" w:rsidRPr="007839E0" w:rsidRDefault="00D35280" w:rsidP="003A5E97">
            <w:pPr>
              <w:pStyle w:val="Heading1"/>
              <w:rPr>
                <w:b w:val="0"/>
                <w:sz w:val="22"/>
                <w:szCs w:val="22"/>
              </w:rPr>
            </w:pPr>
            <w:r w:rsidRPr="007839E0">
              <w:rPr>
                <w:b w:val="0"/>
                <w:sz w:val="22"/>
                <w:szCs w:val="22"/>
              </w:rPr>
              <w:t>70</w:t>
            </w:r>
          </w:p>
        </w:tc>
        <w:tc>
          <w:tcPr>
            <w:tcW w:w="1288" w:type="dxa"/>
          </w:tcPr>
          <w:p w14:paraId="6FED36A6" w14:textId="77777777" w:rsidR="003A5E97" w:rsidRPr="007839E0" w:rsidRDefault="00D35280" w:rsidP="003A5E97">
            <w:pPr>
              <w:pStyle w:val="Heading1"/>
              <w:rPr>
                <w:b w:val="0"/>
                <w:sz w:val="22"/>
                <w:szCs w:val="22"/>
              </w:rPr>
            </w:pPr>
            <w:r w:rsidRPr="007839E0">
              <w:rPr>
                <w:b w:val="0"/>
                <w:sz w:val="22"/>
                <w:szCs w:val="22"/>
              </w:rPr>
              <w:t>70</w:t>
            </w:r>
          </w:p>
        </w:tc>
        <w:tc>
          <w:tcPr>
            <w:tcW w:w="1288" w:type="dxa"/>
          </w:tcPr>
          <w:p w14:paraId="7A568459" w14:textId="77777777" w:rsidR="003A5E97" w:rsidRPr="007839E0" w:rsidRDefault="00D35280" w:rsidP="003A5E97">
            <w:pPr>
              <w:pStyle w:val="Heading1"/>
              <w:rPr>
                <w:sz w:val="22"/>
                <w:szCs w:val="22"/>
              </w:rPr>
            </w:pPr>
            <w:r w:rsidRPr="007839E0">
              <w:rPr>
                <w:sz w:val="22"/>
                <w:szCs w:val="22"/>
              </w:rPr>
              <w:t>200</w:t>
            </w:r>
          </w:p>
        </w:tc>
      </w:tr>
      <w:tr w:rsidR="00D35280" w14:paraId="58F229F4" w14:textId="77777777" w:rsidTr="009F6921">
        <w:trPr>
          <w:cantSplit/>
          <w:tblHeader/>
        </w:trPr>
        <w:tc>
          <w:tcPr>
            <w:tcW w:w="1288" w:type="dxa"/>
          </w:tcPr>
          <w:p w14:paraId="4598FE5D" w14:textId="77777777" w:rsidR="003A5E97" w:rsidRPr="007839E0" w:rsidRDefault="007839E0" w:rsidP="003A5E97">
            <w:pPr>
              <w:pStyle w:val="Heading1"/>
              <w:rPr>
                <w:sz w:val="22"/>
                <w:szCs w:val="22"/>
              </w:rPr>
            </w:pPr>
            <w:r>
              <w:rPr>
                <w:sz w:val="22"/>
                <w:szCs w:val="22"/>
              </w:rPr>
              <w:t>Year total</w:t>
            </w:r>
          </w:p>
        </w:tc>
        <w:tc>
          <w:tcPr>
            <w:tcW w:w="1288" w:type="dxa"/>
          </w:tcPr>
          <w:p w14:paraId="1962FDB8" w14:textId="77777777" w:rsidR="003A5E97" w:rsidRPr="007839E0" w:rsidRDefault="00D35280" w:rsidP="003A5E97">
            <w:pPr>
              <w:pStyle w:val="Heading1"/>
              <w:rPr>
                <w:b w:val="0"/>
                <w:sz w:val="22"/>
                <w:szCs w:val="22"/>
              </w:rPr>
            </w:pPr>
            <w:r w:rsidRPr="007839E0">
              <w:rPr>
                <w:b w:val="0"/>
                <w:sz w:val="22"/>
                <w:szCs w:val="22"/>
              </w:rPr>
              <w:t>0</w:t>
            </w:r>
          </w:p>
        </w:tc>
        <w:tc>
          <w:tcPr>
            <w:tcW w:w="1288" w:type="dxa"/>
          </w:tcPr>
          <w:p w14:paraId="05AC3DB6" w14:textId="77777777" w:rsidR="003A5E97" w:rsidRPr="007839E0" w:rsidRDefault="00D35280" w:rsidP="003A5E97">
            <w:pPr>
              <w:pStyle w:val="Heading1"/>
              <w:rPr>
                <w:b w:val="0"/>
                <w:sz w:val="22"/>
                <w:szCs w:val="22"/>
              </w:rPr>
            </w:pPr>
            <w:r w:rsidRPr="007839E0">
              <w:rPr>
                <w:b w:val="0"/>
                <w:sz w:val="22"/>
                <w:szCs w:val="22"/>
              </w:rPr>
              <w:t>0</w:t>
            </w:r>
          </w:p>
        </w:tc>
        <w:tc>
          <w:tcPr>
            <w:tcW w:w="1288" w:type="dxa"/>
          </w:tcPr>
          <w:p w14:paraId="3BC815A2" w14:textId="77777777" w:rsidR="003A5E97" w:rsidRPr="007839E0" w:rsidRDefault="00D35280" w:rsidP="003A5E97">
            <w:pPr>
              <w:pStyle w:val="Heading1"/>
              <w:rPr>
                <w:b w:val="0"/>
                <w:sz w:val="22"/>
                <w:szCs w:val="22"/>
              </w:rPr>
            </w:pPr>
            <w:r w:rsidRPr="007839E0">
              <w:rPr>
                <w:b w:val="0"/>
                <w:sz w:val="22"/>
                <w:szCs w:val="22"/>
              </w:rPr>
              <w:t>200</w:t>
            </w:r>
          </w:p>
        </w:tc>
        <w:tc>
          <w:tcPr>
            <w:tcW w:w="1288" w:type="dxa"/>
          </w:tcPr>
          <w:p w14:paraId="05F2A945" w14:textId="77777777" w:rsidR="003A5E97" w:rsidRPr="007839E0" w:rsidRDefault="00D35280" w:rsidP="003A5E97">
            <w:pPr>
              <w:pStyle w:val="Heading1"/>
              <w:rPr>
                <w:b w:val="0"/>
                <w:sz w:val="22"/>
                <w:szCs w:val="22"/>
              </w:rPr>
            </w:pPr>
            <w:r w:rsidRPr="007839E0">
              <w:rPr>
                <w:b w:val="0"/>
                <w:sz w:val="22"/>
                <w:szCs w:val="22"/>
              </w:rPr>
              <w:t>390</w:t>
            </w:r>
          </w:p>
        </w:tc>
        <w:tc>
          <w:tcPr>
            <w:tcW w:w="1288" w:type="dxa"/>
          </w:tcPr>
          <w:p w14:paraId="49545F22" w14:textId="77777777" w:rsidR="003A5E97" w:rsidRPr="007839E0" w:rsidRDefault="00D35280" w:rsidP="003A5E97">
            <w:pPr>
              <w:pStyle w:val="Heading1"/>
              <w:rPr>
                <w:b w:val="0"/>
                <w:sz w:val="22"/>
                <w:szCs w:val="22"/>
              </w:rPr>
            </w:pPr>
            <w:r w:rsidRPr="007839E0">
              <w:rPr>
                <w:b w:val="0"/>
                <w:sz w:val="22"/>
                <w:szCs w:val="22"/>
              </w:rPr>
              <w:t>390</w:t>
            </w:r>
          </w:p>
        </w:tc>
        <w:tc>
          <w:tcPr>
            <w:tcW w:w="1288" w:type="dxa"/>
          </w:tcPr>
          <w:p w14:paraId="44D2757E" w14:textId="77777777" w:rsidR="003A5E97" w:rsidRPr="007839E0" w:rsidRDefault="00D35280" w:rsidP="003A5E97">
            <w:pPr>
              <w:pStyle w:val="Heading1"/>
              <w:rPr>
                <w:sz w:val="22"/>
                <w:szCs w:val="22"/>
              </w:rPr>
            </w:pPr>
            <w:r w:rsidRPr="007839E0">
              <w:rPr>
                <w:sz w:val="22"/>
                <w:szCs w:val="22"/>
              </w:rPr>
              <w:t>980</w:t>
            </w:r>
          </w:p>
        </w:tc>
      </w:tr>
    </w:tbl>
    <w:p w14:paraId="5D4064E8" w14:textId="77777777" w:rsidR="006970ED" w:rsidRDefault="003A5E97" w:rsidP="003A5E97">
      <w:pPr>
        <w:pStyle w:val="Heading1"/>
      </w:pPr>
      <w:r>
        <w:t xml:space="preserve"> </w:t>
      </w:r>
    </w:p>
    <w:p w14:paraId="0A6C0E5F" w14:textId="02E8B4A2" w:rsidR="00D95183" w:rsidRDefault="00D41BA5" w:rsidP="00E4335A">
      <w:pPr>
        <w:ind w:left="720" w:hanging="720"/>
      </w:pPr>
      <w:r>
        <w:t>19</w:t>
      </w:r>
      <w:r w:rsidR="00D35280">
        <w:t>.</w:t>
      </w:r>
      <w:r w:rsidR="00D35280">
        <w:tab/>
        <w:t xml:space="preserve">The information above indicates that </w:t>
      </w:r>
      <w:r w:rsidR="00D35280" w:rsidRPr="007839E0">
        <w:rPr>
          <w:b/>
          <w:u w:val="single"/>
        </w:rPr>
        <w:t>980 housing units</w:t>
      </w:r>
      <w:r w:rsidR="00D35280">
        <w:t xml:space="preserve"> would</w:t>
      </w:r>
      <w:r w:rsidR="00D95183">
        <w:t xml:space="preserve"> be expected to</w:t>
      </w:r>
      <w:r w:rsidR="00D35280">
        <w:t xml:space="preserve"> contribute to the Borough’s five-year housing land supply.</w:t>
      </w:r>
      <w:r w:rsidR="00D95183">
        <w:t xml:space="preserve"> When added to the 815 units from consented housing schemes, th</w:t>
      </w:r>
      <w:r w:rsidR="00180370">
        <w:t>e</w:t>
      </w:r>
      <w:r w:rsidR="00D95183">
        <w:t xml:space="preserve"> Borough’s supply</w:t>
      </w:r>
      <w:r w:rsidR="00180370">
        <w:t xml:space="preserve"> is increased</w:t>
      </w:r>
      <w:r w:rsidR="00D95183">
        <w:t xml:space="preserve"> to </w:t>
      </w:r>
      <w:r w:rsidR="00D95183" w:rsidRPr="007839E0">
        <w:rPr>
          <w:b/>
          <w:u w:val="single"/>
        </w:rPr>
        <w:t>1,795 homes</w:t>
      </w:r>
      <w:r w:rsidR="00D95183">
        <w:t>.</w:t>
      </w:r>
    </w:p>
    <w:p w14:paraId="6E70102D" w14:textId="6C53A68B" w:rsidR="00D95183" w:rsidRDefault="00D95183" w:rsidP="00E4335A">
      <w:pPr>
        <w:ind w:left="720" w:hanging="720"/>
      </w:pPr>
    </w:p>
    <w:p w14:paraId="60291163" w14:textId="77777777" w:rsidR="00C362D0" w:rsidRDefault="00C362D0" w:rsidP="00E4335A">
      <w:pPr>
        <w:ind w:left="720" w:hanging="720"/>
      </w:pPr>
    </w:p>
    <w:p w14:paraId="5C297AFE" w14:textId="77777777" w:rsidR="00D95183" w:rsidRDefault="00D95183" w:rsidP="00D95183">
      <w:pPr>
        <w:pStyle w:val="Heading1"/>
      </w:pPr>
      <w:r>
        <w:t>Windfall allowance:</w:t>
      </w:r>
    </w:p>
    <w:p w14:paraId="3E604ACC" w14:textId="77777777" w:rsidR="00D95183" w:rsidRDefault="00D95183" w:rsidP="00D95183">
      <w:pPr>
        <w:pStyle w:val="Heading1"/>
      </w:pPr>
    </w:p>
    <w:p w14:paraId="0F225CDD" w14:textId="771DE2A2" w:rsidR="00611F8A" w:rsidRDefault="00D41BA5" w:rsidP="00611F8A">
      <w:pPr>
        <w:ind w:left="720" w:hanging="720"/>
      </w:pPr>
      <w:r>
        <w:t>20</w:t>
      </w:r>
      <w:r w:rsidR="00D95183">
        <w:t>.</w:t>
      </w:r>
      <w:r w:rsidR="00D95183">
        <w:tab/>
      </w:r>
      <w:r>
        <w:t xml:space="preserve">Paragraph 71 of the NPPF </w:t>
      </w:r>
      <w:r w:rsidR="00611F8A">
        <w:t>enables</w:t>
      </w:r>
      <w:r>
        <w:t xml:space="preserve"> LPAs to incorporate a windfall allowance into </w:t>
      </w:r>
      <w:r w:rsidR="00611F8A">
        <w:t>their anticipated housing supply. This can only be done where strong and compelling evidence exists that past windfall development will continue</w:t>
      </w:r>
      <w:r w:rsidR="00180370">
        <w:t xml:space="preserve"> to occur</w:t>
      </w:r>
      <w:r w:rsidR="00611F8A">
        <w:t xml:space="preserve"> across future years. Erewash has seen</w:t>
      </w:r>
      <w:r w:rsidR="00F81F74">
        <w:t xml:space="preserve"> a substantial proportion</w:t>
      </w:r>
      <w:r w:rsidR="00611F8A">
        <w:t xml:space="preserve"> of</w:t>
      </w:r>
      <w:r w:rsidR="00F81F74">
        <w:t xml:space="preserve"> past</w:t>
      </w:r>
      <w:r w:rsidR="00611F8A">
        <w:t xml:space="preserve"> housing development arise from windfall sites over</w:t>
      </w:r>
      <w:r w:rsidR="00F81F74">
        <w:t xml:space="preserve"> the course of</w:t>
      </w:r>
      <w:r w:rsidR="00611F8A">
        <w:t xml:space="preserve"> </w:t>
      </w:r>
      <w:r w:rsidR="00F81F74">
        <w:t>recent</w:t>
      </w:r>
      <w:r w:rsidR="00611F8A">
        <w:t xml:space="preserve"> decades. With restrictive Green Belt boundaries limiting the growth of the Borough’s towns and villages, windfall development has been a </w:t>
      </w:r>
      <w:r w:rsidR="00180370">
        <w:t>consistent</w:t>
      </w:r>
      <w:r w:rsidR="00611F8A">
        <w:t xml:space="preserve"> source of new housing</w:t>
      </w:r>
      <w:r w:rsidR="00180370">
        <w:t>, contributing notably to</w:t>
      </w:r>
      <w:r w:rsidR="00F81F74">
        <w:t xml:space="preserve"> yearly</w:t>
      </w:r>
      <w:r w:rsidR="00611F8A">
        <w:t xml:space="preserve"> completions.</w:t>
      </w:r>
    </w:p>
    <w:p w14:paraId="34513B37" w14:textId="77777777" w:rsidR="00611F8A" w:rsidRDefault="00611F8A" w:rsidP="00611F8A">
      <w:pPr>
        <w:ind w:left="720" w:hanging="720"/>
      </w:pPr>
    </w:p>
    <w:p w14:paraId="2B5977E9" w14:textId="0345CA64" w:rsidR="00B77C87" w:rsidRDefault="00611F8A" w:rsidP="00611F8A">
      <w:pPr>
        <w:ind w:left="720" w:hanging="720"/>
      </w:pPr>
      <w:r>
        <w:t>21.</w:t>
      </w:r>
      <w:r>
        <w:tab/>
        <w:t>Recent analysi</w:t>
      </w:r>
      <w:r w:rsidR="00F81F74">
        <w:t>s assessing</w:t>
      </w:r>
      <w:r>
        <w:t xml:space="preserve"> the historic contribution made by windfall sites has seen the Council able to </w:t>
      </w:r>
      <w:r w:rsidR="00180370">
        <w:t>identify</w:t>
      </w:r>
      <w:r>
        <w:t xml:space="preserve"> consistently high</w:t>
      </w:r>
      <w:r w:rsidR="00F81F74">
        <w:t xml:space="preserve"> levels of windfall activity</w:t>
      </w:r>
      <w:r>
        <w:t>. Despite the current Core Strategy Review identifying four</w:t>
      </w:r>
      <w:r w:rsidR="00F81F74">
        <w:t xml:space="preserve"> Green Belt</w:t>
      </w:r>
      <w:r>
        <w:t xml:space="preserve"> locations</w:t>
      </w:r>
      <w:r w:rsidR="00180370">
        <w:t xml:space="preserve"> as suitable</w:t>
      </w:r>
      <w:r>
        <w:t xml:space="preserve"> for strategic housing growth, the Council does not expect this to represent a</w:t>
      </w:r>
      <w:r w:rsidR="00180370">
        <w:t xml:space="preserve"> major</w:t>
      </w:r>
      <w:r>
        <w:t xml:space="preserve"> factor in a reduction of windfall trends</w:t>
      </w:r>
      <w:r w:rsidR="00F81F74">
        <w:t xml:space="preserve"> moving forwards</w:t>
      </w:r>
      <w:r w:rsidR="00180370">
        <w:t xml:space="preserve"> – particularly in the south of the Borough where no strategic allocations are proposed</w:t>
      </w:r>
      <w:r>
        <w:t>. Whilst there is a relative shortage of major residential development sites within towns and villages, the urban form evident within the Borough will likely continue to support high levels of contribution from windfall schemes.</w:t>
      </w:r>
      <w:r w:rsidR="00B77C87">
        <w:t xml:space="preserve"> The 2022 SHLAA has also taken a more stringent</w:t>
      </w:r>
      <w:r w:rsidR="00F81F74">
        <w:t xml:space="preserve"> and pragmatic</w:t>
      </w:r>
      <w:r w:rsidR="00B77C87">
        <w:t xml:space="preserve"> approach to assessing the deliverability of sites which do not</w:t>
      </w:r>
      <w:r w:rsidR="00F81F74">
        <w:t xml:space="preserve"> currently</w:t>
      </w:r>
      <w:r w:rsidR="00B77C87">
        <w:t xml:space="preserve"> benefit from planning consent, but which might</w:t>
      </w:r>
      <w:r w:rsidR="00180370">
        <w:t xml:space="preserve"> nevertheless</w:t>
      </w:r>
      <w:r w:rsidR="00B77C87">
        <w:t xml:space="preserve"> be in locations where pressures exist to deliver new housing from </w:t>
      </w:r>
      <w:r w:rsidR="00180370">
        <w:t>increasingly aged</w:t>
      </w:r>
      <w:r w:rsidR="00B77C87">
        <w:t xml:space="preserve"> (and in some </w:t>
      </w:r>
      <w:r w:rsidR="00B77C87">
        <w:lastRenderedPageBreak/>
        <w:t>cases, redundant) industrial premises.</w:t>
      </w:r>
      <w:r w:rsidR="00F81F74">
        <w:t xml:space="preserve"> This is a marked departure from the approach taken in previous SHLAAs.</w:t>
      </w:r>
    </w:p>
    <w:p w14:paraId="2259F1B3" w14:textId="77777777" w:rsidR="00B77C87" w:rsidRDefault="00B77C87" w:rsidP="00611F8A">
      <w:pPr>
        <w:ind w:left="720" w:hanging="720"/>
      </w:pPr>
    </w:p>
    <w:p w14:paraId="6F9A2183" w14:textId="099FAB4D" w:rsidR="00B77C87" w:rsidRDefault="00F81F74" w:rsidP="00611F8A">
      <w:pPr>
        <w:ind w:left="720" w:hanging="720"/>
      </w:pPr>
      <w:r>
        <w:t>22.</w:t>
      </w:r>
      <w:r>
        <w:tab/>
        <w:t>As highlighted</w:t>
      </w:r>
      <w:r w:rsidR="00B77C87">
        <w:t xml:space="preserve"> at </w:t>
      </w:r>
      <w:r w:rsidR="00B77C87" w:rsidRPr="00BB3C39">
        <w:rPr>
          <w:b/>
        </w:rPr>
        <w:t>14</w:t>
      </w:r>
      <w:r w:rsidR="00B77C87">
        <w:t xml:space="preserve">, the Council have </w:t>
      </w:r>
      <w:r w:rsidR="00180370">
        <w:t>collaborated</w:t>
      </w:r>
      <w:r w:rsidR="00B77C87">
        <w:t xml:space="preserve"> with other Greater Nottingham authorities to attempt to align aspects of work</w:t>
      </w:r>
      <w:r>
        <w:t xml:space="preserve"> feed</w:t>
      </w:r>
      <w:r w:rsidR="00180370">
        <w:t>ing</w:t>
      </w:r>
      <w:r>
        <w:t xml:space="preserve"> into the calculation</w:t>
      </w:r>
      <w:r w:rsidR="00B77C87">
        <w:t xml:space="preserve"> of housing land supply. A</w:t>
      </w:r>
      <w:r w:rsidR="00180370">
        <w:t>rriving at a</w:t>
      </w:r>
      <w:r w:rsidR="00B77C87">
        <w:t xml:space="preserve"> more common approach to how windfall allowances contribute to</w:t>
      </w:r>
      <w:r w:rsidR="007E5030">
        <w:t xml:space="preserve"> councils</w:t>
      </w:r>
      <w:r w:rsidR="00B77C87">
        <w:t xml:space="preserve"> supply</w:t>
      </w:r>
      <w:r w:rsidR="007E5030">
        <w:t xml:space="preserve"> figures</w:t>
      </w:r>
      <w:r w:rsidR="00B77C87">
        <w:t xml:space="preserve"> was one of the</w:t>
      </w:r>
      <w:r w:rsidR="007E5030">
        <w:t xml:space="preserve"> main</w:t>
      </w:r>
      <w:r w:rsidR="00B77C87">
        <w:t xml:space="preserve"> outcomes of greater coordination. Previously, several c</w:t>
      </w:r>
      <w:r>
        <w:t>ontrasting approaches were in place</w:t>
      </w:r>
      <w:r w:rsidR="00B77C87">
        <w:t xml:space="preserve"> </w:t>
      </w:r>
      <w:r>
        <w:t>providing a confused picture of the pro</w:t>
      </w:r>
      <w:r w:rsidR="00B77C87">
        <w:t>minence of windfall in land supplies. The SHLAA methodology has influence</w:t>
      </w:r>
      <w:r>
        <w:t>d</w:t>
      </w:r>
      <w:r w:rsidR="00B77C87">
        <w:t xml:space="preserve"> a more common way that</w:t>
      </w:r>
      <w:r>
        <w:t xml:space="preserve"> sees</w:t>
      </w:r>
      <w:r w:rsidR="00B77C87">
        <w:t xml:space="preserve"> allowance only </w:t>
      </w:r>
      <w:r w:rsidR="007E5030">
        <w:t>contributing to</w:t>
      </w:r>
      <w:r w:rsidR="00B77C87">
        <w:t xml:space="preserve"> a five-year supply </w:t>
      </w:r>
      <w:r w:rsidR="007E5030">
        <w:t>from the</w:t>
      </w:r>
      <w:r w:rsidR="00B77C87">
        <w:t xml:space="preserve"> fourth year</w:t>
      </w:r>
      <w:r w:rsidR="007E5030">
        <w:t xml:space="preserve"> onwards</w:t>
      </w:r>
      <w:r w:rsidR="00B77C87">
        <w:t>. This minimise</w:t>
      </w:r>
      <w:r>
        <w:t>s any</w:t>
      </w:r>
      <w:r w:rsidR="00B77C87">
        <w:t xml:space="preserve"> risk from</w:t>
      </w:r>
      <w:r w:rsidR="007E5030">
        <w:t xml:space="preserve"> the</w:t>
      </w:r>
      <w:r w:rsidR="00B77C87">
        <w:t xml:space="preserve"> double counting</w:t>
      </w:r>
      <w:r w:rsidR="007E5030">
        <w:t xml:space="preserve"> of</w:t>
      </w:r>
      <w:r w:rsidR="00B77C87">
        <w:t xml:space="preserve"> live residential consents that have three years to commence before</w:t>
      </w:r>
      <w:r>
        <w:t xml:space="preserve"> permission </w:t>
      </w:r>
      <w:r w:rsidR="007E5030">
        <w:t>lapses</w:t>
      </w:r>
      <w:r w:rsidR="00B77C87">
        <w:t>.</w:t>
      </w:r>
    </w:p>
    <w:p w14:paraId="0704955B" w14:textId="77777777" w:rsidR="00B77C87" w:rsidRDefault="00B77C87" w:rsidP="00611F8A">
      <w:pPr>
        <w:ind w:left="720" w:hanging="720"/>
      </w:pPr>
    </w:p>
    <w:p w14:paraId="55E273C9" w14:textId="581FFFF6" w:rsidR="007839E0" w:rsidRDefault="00B77C87" w:rsidP="00611F8A">
      <w:pPr>
        <w:ind w:left="720" w:hanging="720"/>
      </w:pPr>
      <w:r>
        <w:t>23.</w:t>
      </w:r>
      <w:r>
        <w:tab/>
      </w:r>
      <w:r w:rsidRPr="00032216">
        <w:t>Erewash Borough’s w</w:t>
      </w:r>
      <w:r w:rsidR="007B5074">
        <w:t>indfall data can be found in Erewash’s</w:t>
      </w:r>
      <w:r w:rsidR="007839E0" w:rsidRPr="00032216">
        <w:t xml:space="preserve"> </w:t>
      </w:r>
      <w:r w:rsidR="007E5030" w:rsidRPr="00032216">
        <w:t>Joint</w:t>
      </w:r>
      <w:r w:rsidR="007839E0" w:rsidRPr="00032216">
        <w:t xml:space="preserve"> SHLAA </w:t>
      </w:r>
      <w:r w:rsidR="007E5030" w:rsidRPr="00032216">
        <w:t>M</w:t>
      </w:r>
      <w:r w:rsidR="007839E0" w:rsidRPr="00032216">
        <w:t>ethodology</w:t>
      </w:r>
      <w:r w:rsidR="007E5030" w:rsidRPr="00032216">
        <w:t xml:space="preserve"> report</w:t>
      </w:r>
      <w:r w:rsidR="005F2286" w:rsidRPr="00032216">
        <w:t xml:space="preserve"> 2022 update</w:t>
      </w:r>
      <w:r w:rsidR="007839E0" w:rsidRPr="00032216">
        <w:t>.</w:t>
      </w:r>
      <w:r w:rsidR="007839E0">
        <w:t xml:space="preserve"> This sets out the contributions made by windfall development across previous years and helps justify an annual windfall allowance figure of 231 homes. As per the information above at </w:t>
      </w:r>
      <w:r w:rsidR="007839E0" w:rsidRPr="005F2286">
        <w:rPr>
          <w:b/>
          <w:bCs/>
        </w:rPr>
        <w:t>22</w:t>
      </w:r>
      <w:r w:rsidR="007839E0">
        <w:t xml:space="preserve">, only two years of allowance are incorporated into the Council’s five-year supply – totalling </w:t>
      </w:r>
      <w:r w:rsidR="007839E0" w:rsidRPr="007839E0">
        <w:rPr>
          <w:b/>
          <w:u w:val="single"/>
        </w:rPr>
        <w:t>462 units</w:t>
      </w:r>
      <w:r w:rsidR="007839E0">
        <w:t>.</w:t>
      </w:r>
    </w:p>
    <w:p w14:paraId="6B80DAE8" w14:textId="77777777" w:rsidR="007839E0" w:rsidRDefault="007839E0" w:rsidP="00611F8A">
      <w:pPr>
        <w:ind w:left="720" w:hanging="720"/>
      </w:pPr>
    </w:p>
    <w:p w14:paraId="495ADDE8" w14:textId="77777777" w:rsidR="007839E0" w:rsidRDefault="007839E0" w:rsidP="00611F8A">
      <w:pPr>
        <w:ind w:left="720" w:hanging="720"/>
      </w:pPr>
      <w:r>
        <w:t>24.</w:t>
      </w:r>
      <w:r>
        <w:tab/>
        <w:t xml:space="preserve">Incorporating the windfall allowance to the supply of deliverable units and the expected delivery arising from early housing development at the four strategic allocation sites, this increases the supply to </w:t>
      </w:r>
      <w:r w:rsidRPr="007839E0">
        <w:rPr>
          <w:b/>
          <w:u w:val="single"/>
        </w:rPr>
        <w:t>2,257 homes</w:t>
      </w:r>
      <w:r>
        <w:t>.</w:t>
      </w:r>
    </w:p>
    <w:p w14:paraId="3DFFEF37" w14:textId="71CB4B5F" w:rsidR="007839E0" w:rsidRDefault="007839E0" w:rsidP="00611F8A">
      <w:pPr>
        <w:ind w:left="720" w:hanging="720"/>
      </w:pPr>
    </w:p>
    <w:p w14:paraId="1F1765C3" w14:textId="77777777" w:rsidR="00C362D0" w:rsidRDefault="00C362D0" w:rsidP="00611F8A">
      <w:pPr>
        <w:ind w:left="720" w:hanging="720"/>
      </w:pPr>
    </w:p>
    <w:p w14:paraId="1E88D3F8" w14:textId="77777777" w:rsidR="007839E0" w:rsidRDefault="007839E0" w:rsidP="007839E0">
      <w:pPr>
        <w:pStyle w:val="Heading1"/>
      </w:pPr>
      <w:r>
        <w:t>Non-implementation rate:</w:t>
      </w:r>
    </w:p>
    <w:p w14:paraId="02389369" w14:textId="77777777" w:rsidR="007839E0" w:rsidRDefault="007839E0" w:rsidP="007839E0">
      <w:pPr>
        <w:pStyle w:val="Heading1"/>
      </w:pPr>
    </w:p>
    <w:p w14:paraId="4F7BCD1B" w14:textId="357E5DD7" w:rsidR="00322B26" w:rsidRDefault="007839E0" w:rsidP="00322B26">
      <w:pPr>
        <w:ind w:left="720" w:hanging="720"/>
      </w:pPr>
      <w:r>
        <w:t>25.</w:t>
      </w:r>
      <w:r>
        <w:tab/>
      </w:r>
      <w:r w:rsidR="00322B26">
        <w:t>In c</w:t>
      </w:r>
      <w:r>
        <w:t>o</w:t>
      </w:r>
      <w:r w:rsidR="00322B26">
        <w:t>ntrast</w:t>
      </w:r>
      <w:r w:rsidR="00364F70">
        <w:t xml:space="preserve"> to the role of</w:t>
      </w:r>
      <w:r w:rsidR="00322B26">
        <w:t xml:space="preserve"> windfall allowance, a council’s housing supply is vulnerable from residential planning consents that lapse.</w:t>
      </w:r>
      <w:r w:rsidR="00364F70">
        <w:t xml:space="preserve"> I</w:t>
      </w:r>
      <w:r w:rsidR="00322B26">
        <w:t>n most cases</w:t>
      </w:r>
      <w:r w:rsidR="00364F70">
        <w:t>, the lapsing of planning permission</w:t>
      </w:r>
      <w:r w:rsidR="00322B26">
        <w:t xml:space="preserve"> mean</w:t>
      </w:r>
      <w:r w:rsidR="00364F70">
        <w:t>s</w:t>
      </w:r>
      <w:r w:rsidR="00322B26">
        <w:t xml:space="preserve"> that the</w:t>
      </w:r>
      <w:r w:rsidR="00364F70">
        <w:t xml:space="preserve"> prospects of housing deliverability at a site become uncertain</w:t>
      </w:r>
      <w:r w:rsidR="00322B26">
        <w:t>. Factors such as</w:t>
      </w:r>
      <w:r w:rsidR="00364F70">
        <w:t xml:space="preserve"> changing land values, the cost</w:t>
      </w:r>
      <w:r w:rsidR="00322B26">
        <w:t xml:space="preserve"> of building</w:t>
      </w:r>
      <w:r w:rsidR="00364F70">
        <w:t xml:space="preserve"> and construction</w:t>
      </w:r>
      <w:r w:rsidR="00322B26">
        <w:t xml:space="preserve"> materials, availability of labour or changes in personal circumstances are all common reasons why residential permissions lapse.</w:t>
      </w:r>
    </w:p>
    <w:p w14:paraId="5B7853DC" w14:textId="77777777" w:rsidR="00364F70" w:rsidRDefault="00364F70" w:rsidP="00322B26">
      <w:pPr>
        <w:ind w:left="720" w:hanging="720"/>
      </w:pPr>
    </w:p>
    <w:p w14:paraId="3236019B" w14:textId="47887986" w:rsidR="00364F70" w:rsidRDefault="00364F70" w:rsidP="00322B26">
      <w:pPr>
        <w:ind w:left="720" w:hanging="720"/>
      </w:pPr>
      <w:r>
        <w:t>26.</w:t>
      </w:r>
      <w:r>
        <w:tab/>
        <w:t>Recent analysis undertaken by the</w:t>
      </w:r>
      <w:r w:rsidR="005F2286">
        <w:t xml:space="preserve"> Council’s</w:t>
      </w:r>
      <w:r>
        <w:t xml:space="preserve"> Planning Policy team has strengthened the robustness and availability of historic data around instances of non-implementation in Erewash. Information on </w:t>
      </w:r>
      <w:r w:rsidRPr="00032216">
        <w:t xml:space="preserve">this is presented by the SHLAA methodology that concludes a </w:t>
      </w:r>
      <w:r w:rsidRPr="00032216">
        <w:rPr>
          <w:b/>
          <w:u w:val="single"/>
        </w:rPr>
        <w:t>6% rate</w:t>
      </w:r>
      <w:r w:rsidR="00F81F74" w:rsidRPr="00032216">
        <w:t xml:space="preserve"> is justifiable and appropriate</w:t>
      </w:r>
      <w:r w:rsidRPr="00032216">
        <w:t>.</w:t>
      </w:r>
      <w:r>
        <w:t xml:space="preserve"> This is a total discount figure that spans both minor and major residential schemes. </w:t>
      </w:r>
      <w:r w:rsidR="00F81F74">
        <w:t>In calculating the Borough’s housing land supply, t</w:t>
      </w:r>
      <w:r>
        <w:t>he 6% non-implementation rate should be applied to all live consented housing permissions.</w:t>
      </w:r>
    </w:p>
    <w:p w14:paraId="5CE85340" w14:textId="77777777" w:rsidR="00364F70" w:rsidRDefault="00364F70" w:rsidP="00322B26">
      <w:pPr>
        <w:ind w:left="720" w:hanging="720"/>
      </w:pPr>
    </w:p>
    <w:p w14:paraId="050F28AF" w14:textId="77777777" w:rsidR="00A9161D" w:rsidRDefault="00364F70" w:rsidP="00322B26">
      <w:pPr>
        <w:ind w:left="720" w:hanging="720"/>
      </w:pPr>
      <w:r>
        <w:t>27.</w:t>
      </w:r>
      <w:r>
        <w:tab/>
      </w:r>
      <w:r w:rsidR="00BB3C39">
        <w:t>Taking the 815 deliverable units mentioned earlier in the Paper</w:t>
      </w:r>
      <w:r w:rsidR="00A9161D">
        <w:t xml:space="preserve"> at </w:t>
      </w:r>
      <w:r w:rsidR="00A9161D" w:rsidRPr="00A9161D">
        <w:rPr>
          <w:b/>
          <w:bCs/>
        </w:rPr>
        <w:t>15</w:t>
      </w:r>
      <w:r w:rsidR="00BB3C39">
        <w:t xml:space="preserve">, the application of a 6% lapse rate would reduce the number of housing units from this particular source of supply to </w:t>
      </w:r>
      <w:r w:rsidR="00BB3C39" w:rsidRPr="00F81F74">
        <w:rPr>
          <w:b/>
          <w:u w:val="single"/>
        </w:rPr>
        <w:t>766 dwellings</w:t>
      </w:r>
      <w:r w:rsidR="00BB3C39">
        <w:t xml:space="preserve">. This in total is a reduction of 49 housing units, with the overall impact of the introduction of a lapse rate reducing the land supply to </w:t>
      </w:r>
      <w:r w:rsidR="00BB3C39" w:rsidRPr="00BB3C39">
        <w:rPr>
          <w:b/>
          <w:u w:val="single"/>
        </w:rPr>
        <w:t>2,208 dwellings</w:t>
      </w:r>
      <w:r w:rsidR="00BB3C39">
        <w:t>.</w:t>
      </w:r>
    </w:p>
    <w:p w14:paraId="3FCF70E8" w14:textId="6293C8C3" w:rsidR="00A9161D" w:rsidRDefault="00A9161D" w:rsidP="00322B26">
      <w:pPr>
        <w:ind w:left="720" w:hanging="720"/>
      </w:pPr>
    </w:p>
    <w:p w14:paraId="5A89C159" w14:textId="4C93998D" w:rsidR="00C362D0" w:rsidRDefault="00C362D0" w:rsidP="00322B26">
      <w:pPr>
        <w:ind w:left="720" w:hanging="720"/>
      </w:pPr>
    </w:p>
    <w:p w14:paraId="5576A258" w14:textId="433EE7EE" w:rsidR="00032216" w:rsidRDefault="00032216" w:rsidP="00322B26">
      <w:pPr>
        <w:ind w:left="720" w:hanging="720"/>
      </w:pPr>
    </w:p>
    <w:p w14:paraId="5F5466C2" w14:textId="77777777" w:rsidR="00032216" w:rsidRDefault="00032216" w:rsidP="00322B26">
      <w:pPr>
        <w:ind w:left="720" w:hanging="720"/>
      </w:pPr>
    </w:p>
    <w:p w14:paraId="57CEA414" w14:textId="1B468F6C" w:rsidR="00364F70" w:rsidRDefault="00A9161D" w:rsidP="00A9161D">
      <w:pPr>
        <w:pStyle w:val="Heading1"/>
      </w:pPr>
      <w:bookmarkStart w:id="0" w:name="_Hlk120117373"/>
      <w:r>
        <w:lastRenderedPageBreak/>
        <w:t xml:space="preserve">Council-owned </w:t>
      </w:r>
      <w:r w:rsidR="00691603">
        <w:t>property</w:t>
      </w:r>
      <w:r>
        <w:t xml:space="preserve"> and estate:</w:t>
      </w:r>
    </w:p>
    <w:p w14:paraId="005AAE14" w14:textId="77777777" w:rsidR="00A9161D" w:rsidRPr="00A9161D" w:rsidRDefault="00A9161D" w:rsidP="00A9161D"/>
    <w:p w14:paraId="55DB7767" w14:textId="417E1B3A" w:rsidR="00F17032" w:rsidRPr="005035FB" w:rsidRDefault="00A9161D" w:rsidP="005035FB">
      <w:pPr>
        <w:ind w:left="720" w:hanging="720"/>
        <w:rPr>
          <w:rFonts w:cs="Arial"/>
          <w:color w:val="000000" w:themeColor="text1"/>
          <w:lang w:eastAsia="en-GB"/>
        </w:rPr>
      </w:pPr>
      <w:r w:rsidRPr="005035FB">
        <w:rPr>
          <w:color w:val="000000" w:themeColor="text1"/>
        </w:rPr>
        <w:t>28.</w:t>
      </w:r>
      <w:r w:rsidRPr="005035FB">
        <w:rPr>
          <w:color w:val="000000" w:themeColor="text1"/>
        </w:rPr>
        <w:tab/>
      </w:r>
      <w:bookmarkEnd w:id="0"/>
      <w:r w:rsidR="00C362D0" w:rsidRPr="005035FB">
        <w:rPr>
          <w:rFonts w:cs="Arial"/>
          <w:color w:val="000000" w:themeColor="text1"/>
          <w:lang w:eastAsia="en-GB"/>
        </w:rPr>
        <w:t xml:space="preserve">The </w:t>
      </w:r>
      <w:r w:rsidR="005035FB" w:rsidRPr="005035FB">
        <w:rPr>
          <w:rFonts w:cs="Arial"/>
          <w:color w:val="000000" w:themeColor="text1"/>
          <w:lang w:eastAsia="en-GB"/>
        </w:rPr>
        <w:t>Council is a significant landowner in the Borough, holding land and property for a wide range of purposes</w:t>
      </w:r>
      <w:r w:rsidR="005035FB">
        <w:rPr>
          <w:rFonts w:cs="Arial"/>
          <w:color w:val="000000" w:themeColor="text1"/>
          <w:lang w:eastAsia="en-GB"/>
        </w:rPr>
        <w:t xml:space="preserve"> -</w:t>
      </w:r>
      <w:r w:rsidR="005035FB" w:rsidRPr="005035FB">
        <w:rPr>
          <w:rFonts w:cs="Arial"/>
          <w:color w:val="000000" w:themeColor="text1"/>
          <w:lang w:eastAsia="en-GB"/>
        </w:rPr>
        <w:t xml:space="preserve"> including un</w:t>
      </w:r>
      <w:r w:rsidR="00840B05">
        <w:rPr>
          <w:rFonts w:cs="Arial"/>
          <w:color w:val="000000" w:themeColor="text1"/>
          <w:lang w:eastAsia="en-GB"/>
        </w:rPr>
        <w:t>developed land within the built-</w:t>
      </w:r>
      <w:r w:rsidR="005035FB" w:rsidRPr="005035FB">
        <w:rPr>
          <w:rFonts w:cs="Arial"/>
          <w:color w:val="000000" w:themeColor="text1"/>
          <w:lang w:eastAsia="en-GB"/>
        </w:rPr>
        <w:t xml:space="preserve">up areas of Ilkeston, Long Eaton, and the parish villages. The Open Space Needs Assessment conducted in 2022 concludes that there is </w:t>
      </w:r>
      <w:proofErr w:type="gramStart"/>
      <w:r w:rsidR="005035FB" w:rsidRPr="005035FB">
        <w:rPr>
          <w:rFonts w:cs="Arial"/>
          <w:color w:val="000000" w:themeColor="text1"/>
          <w:lang w:eastAsia="en-GB"/>
        </w:rPr>
        <w:t>in excess of</w:t>
      </w:r>
      <w:proofErr w:type="gramEnd"/>
      <w:r w:rsidR="005035FB" w:rsidRPr="005035FB">
        <w:rPr>
          <w:rFonts w:cs="Arial"/>
          <w:color w:val="000000" w:themeColor="text1"/>
          <w:lang w:eastAsia="en-GB"/>
        </w:rPr>
        <w:t xml:space="preserve"> </w:t>
      </w:r>
      <w:r w:rsidR="005035FB" w:rsidRPr="005035FB">
        <w:rPr>
          <w:rFonts w:cs="Arial"/>
          <w:b/>
          <w:color w:val="000000" w:themeColor="text1"/>
          <w:lang w:eastAsia="en-GB"/>
        </w:rPr>
        <w:t>50</w:t>
      </w:r>
      <w:r w:rsidR="00D82DCC">
        <w:rPr>
          <w:rFonts w:cs="Arial"/>
          <w:b/>
          <w:color w:val="000000" w:themeColor="text1"/>
          <w:lang w:eastAsia="en-GB"/>
        </w:rPr>
        <w:t xml:space="preserve"> </w:t>
      </w:r>
      <w:r w:rsidR="005035FB" w:rsidRPr="005035FB">
        <w:rPr>
          <w:rFonts w:cs="Arial"/>
          <w:b/>
          <w:color w:val="000000" w:themeColor="text1"/>
          <w:lang w:eastAsia="en-GB"/>
        </w:rPr>
        <w:t>Ha</w:t>
      </w:r>
      <w:r w:rsidR="005035FB" w:rsidRPr="005035FB">
        <w:rPr>
          <w:rFonts w:cs="Arial"/>
          <w:color w:val="000000" w:themeColor="text1"/>
          <w:lang w:eastAsia="en-GB"/>
        </w:rPr>
        <w:t xml:space="preserve"> o</w:t>
      </w:r>
      <w:r w:rsidR="005035FB">
        <w:rPr>
          <w:rFonts w:cs="Arial"/>
          <w:color w:val="000000" w:themeColor="text1"/>
          <w:lang w:eastAsia="en-GB"/>
        </w:rPr>
        <w:t>f land which is surplus to the B</w:t>
      </w:r>
      <w:r w:rsidR="005035FB" w:rsidRPr="005035FB">
        <w:rPr>
          <w:rFonts w:cs="Arial"/>
          <w:color w:val="000000" w:themeColor="text1"/>
          <w:lang w:eastAsia="en-GB"/>
        </w:rPr>
        <w:t>orough’s open space requirements. A Land Review by the Council’s Property and Estates service has concluded that some of this surplus undeveloped land is suitable for development. It is re</w:t>
      </w:r>
      <w:r w:rsidR="00840B05">
        <w:rPr>
          <w:rFonts w:cs="Arial"/>
          <w:color w:val="000000" w:themeColor="text1"/>
          <w:lang w:eastAsia="en-GB"/>
        </w:rPr>
        <w:t>asonably concluded that some 200</w:t>
      </w:r>
      <w:r w:rsidR="005035FB" w:rsidRPr="005035FB">
        <w:rPr>
          <w:rFonts w:cs="Arial"/>
          <w:color w:val="000000" w:themeColor="text1"/>
          <w:lang w:eastAsia="en-GB"/>
        </w:rPr>
        <w:t xml:space="preserve"> dwellings could be delivered on this land in the SHLAA’s 0-5 year period.</w:t>
      </w:r>
    </w:p>
    <w:p w14:paraId="09651ED7" w14:textId="075CCFF0" w:rsidR="00C362D0" w:rsidRDefault="00C362D0" w:rsidP="00C362D0">
      <w:pPr>
        <w:ind w:left="720" w:hanging="720"/>
        <w:rPr>
          <w:rFonts w:cs="Arial"/>
          <w:color w:val="000000" w:themeColor="text1"/>
          <w:lang w:eastAsia="en-GB"/>
        </w:rPr>
      </w:pPr>
    </w:p>
    <w:p w14:paraId="6FF9D70C" w14:textId="12699764" w:rsidR="00C362D0" w:rsidRDefault="00C362D0" w:rsidP="00840B05">
      <w:pPr>
        <w:rPr>
          <w:rFonts w:cs="Arial"/>
          <w:color w:val="000000" w:themeColor="text1"/>
          <w:lang w:eastAsia="en-GB"/>
        </w:rPr>
      </w:pPr>
    </w:p>
    <w:p w14:paraId="67B567D2" w14:textId="355CC00D" w:rsidR="00C362D0" w:rsidRDefault="00C362D0" w:rsidP="00C362D0">
      <w:pPr>
        <w:ind w:left="720" w:hanging="720"/>
        <w:rPr>
          <w:rFonts w:cs="Arial"/>
          <w:color w:val="000000" w:themeColor="text1"/>
          <w:lang w:eastAsia="en-GB"/>
        </w:rPr>
      </w:pPr>
    </w:p>
    <w:p w14:paraId="4240879E" w14:textId="409F8A85" w:rsidR="00C362D0" w:rsidRDefault="00C362D0" w:rsidP="00C362D0">
      <w:pPr>
        <w:ind w:left="720" w:hanging="720"/>
        <w:rPr>
          <w:rFonts w:cs="Arial"/>
          <w:color w:val="000000" w:themeColor="text1"/>
          <w:lang w:eastAsia="en-GB"/>
        </w:rPr>
      </w:pPr>
    </w:p>
    <w:p w14:paraId="4391ED27" w14:textId="5043CD08" w:rsidR="00C362D0" w:rsidRDefault="00C362D0" w:rsidP="00C362D0">
      <w:pPr>
        <w:ind w:left="720" w:hanging="720"/>
        <w:rPr>
          <w:rFonts w:cs="Arial"/>
          <w:color w:val="000000" w:themeColor="text1"/>
          <w:lang w:eastAsia="en-GB"/>
        </w:rPr>
      </w:pPr>
    </w:p>
    <w:p w14:paraId="541D79E8" w14:textId="09DA967F" w:rsidR="00C362D0" w:rsidRDefault="00C362D0" w:rsidP="00C362D0">
      <w:pPr>
        <w:ind w:left="720" w:hanging="720"/>
        <w:rPr>
          <w:rFonts w:cs="Arial"/>
          <w:color w:val="000000" w:themeColor="text1"/>
          <w:lang w:eastAsia="en-GB"/>
        </w:rPr>
      </w:pPr>
    </w:p>
    <w:p w14:paraId="21CC381E" w14:textId="3291904B" w:rsidR="00C362D0" w:rsidRDefault="00C362D0" w:rsidP="00C362D0">
      <w:pPr>
        <w:ind w:left="720" w:hanging="720"/>
        <w:rPr>
          <w:rFonts w:cs="Arial"/>
          <w:color w:val="000000" w:themeColor="text1"/>
          <w:lang w:eastAsia="en-GB"/>
        </w:rPr>
      </w:pPr>
    </w:p>
    <w:p w14:paraId="15596C55" w14:textId="229DBF9D" w:rsidR="00C362D0" w:rsidRDefault="00C362D0" w:rsidP="00C362D0">
      <w:pPr>
        <w:ind w:left="720" w:hanging="720"/>
        <w:rPr>
          <w:rFonts w:cs="Arial"/>
          <w:color w:val="000000" w:themeColor="text1"/>
          <w:lang w:eastAsia="en-GB"/>
        </w:rPr>
      </w:pPr>
    </w:p>
    <w:p w14:paraId="18CCAF7F" w14:textId="7F755D38" w:rsidR="00C362D0" w:rsidRDefault="00C362D0" w:rsidP="00C362D0">
      <w:pPr>
        <w:ind w:left="720" w:hanging="720"/>
        <w:rPr>
          <w:rFonts w:cs="Arial"/>
          <w:color w:val="000000" w:themeColor="text1"/>
          <w:lang w:eastAsia="en-GB"/>
        </w:rPr>
      </w:pPr>
    </w:p>
    <w:p w14:paraId="5486357D" w14:textId="3BBED7E6" w:rsidR="00C362D0" w:rsidRDefault="00C362D0" w:rsidP="00C362D0">
      <w:pPr>
        <w:ind w:left="720" w:hanging="720"/>
        <w:rPr>
          <w:rFonts w:cs="Arial"/>
          <w:color w:val="000000" w:themeColor="text1"/>
          <w:lang w:eastAsia="en-GB"/>
        </w:rPr>
      </w:pPr>
    </w:p>
    <w:p w14:paraId="236D6414" w14:textId="36A51EB8" w:rsidR="00C362D0" w:rsidRDefault="00C362D0" w:rsidP="00C362D0">
      <w:pPr>
        <w:ind w:left="720" w:hanging="720"/>
        <w:rPr>
          <w:rFonts w:cs="Arial"/>
          <w:color w:val="000000" w:themeColor="text1"/>
          <w:lang w:eastAsia="en-GB"/>
        </w:rPr>
      </w:pPr>
    </w:p>
    <w:p w14:paraId="77984F4F" w14:textId="29277B11" w:rsidR="00C362D0" w:rsidRDefault="00C362D0" w:rsidP="00C362D0">
      <w:pPr>
        <w:ind w:left="720" w:hanging="720"/>
        <w:rPr>
          <w:rFonts w:cs="Arial"/>
          <w:color w:val="000000" w:themeColor="text1"/>
          <w:lang w:eastAsia="en-GB"/>
        </w:rPr>
      </w:pPr>
    </w:p>
    <w:p w14:paraId="6AA90E45" w14:textId="729557C3" w:rsidR="00C362D0" w:rsidRDefault="00C362D0" w:rsidP="00C362D0">
      <w:pPr>
        <w:ind w:left="720" w:hanging="720"/>
        <w:rPr>
          <w:rFonts w:cs="Arial"/>
          <w:color w:val="000000" w:themeColor="text1"/>
          <w:lang w:eastAsia="en-GB"/>
        </w:rPr>
      </w:pPr>
    </w:p>
    <w:p w14:paraId="6654C6DA" w14:textId="5D5D9281" w:rsidR="00C362D0" w:rsidRDefault="00C362D0" w:rsidP="00C362D0">
      <w:pPr>
        <w:ind w:left="720" w:hanging="720"/>
        <w:rPr>
          <w:rFonts w:cs="Arial"/>
          <w:color w:val="000000" w:themeColor="text1"/>
          <w:lang w:eastAsia="en-GB"/>
        </w:rPr>
      </w:pPr>
    </w:p>
    <w:p w14:paraId="69CA3B9F" w14:textId="0E5E3E06" w:rsidR="00C362D0" w:rsidRDefault="00C362D0" w:rsidP="00C362D0">
      <w:pPr>
        <w:ind w:left="720" w:hanging="720"/>
        <w:rPr>
          <w:rFonts w:cs="Arial"/>
          <w:color w:val="000000" w:themeColor="text1"/>
          <w:lang w:eastAsia="en-GB"/>
        </w:rPr>
      </w:pPr>
    </w:p>
    <w:p w14:paraId="507E17F0" w14:textId="10692F07" w:rsidR="00C362D0" w:rsidRDefault="00C362D0" w:rsidP="00C362D0">
      <w:pPr>
        <w:ind w:left="720" w:hanging="720"/>
        <w:rPr>
          <w:rFonts w:cs="Arial"/>
          <w:color w:val="000000" w:themeColor="text1"/>
          <w:lang w:eastAsia="en-GB"/>
        </w:rPr>
      </w:pPr>
    </w:p>
    <w:p w14:paraId="2E3DD50B" w14:textId="1522D500" w:rsidR="00C362D0" w:rsidRDefault="00C362D0" w:rsidP="00C362D0">
      <w:pPr>
        <w:ind w:left="720" w:hanging="720"/>
        <w:rPr>
          <w:rFonts w:cs="Arial"/>
          <w:color w:val="000000" w:themeColor="text1"/>
          <w:lang w:eastAsia="en-GB"/>
        </w:rPr>
      </w:pPr>
    </w:p>
    <w:p w14:paraId="745217D8" w14:textId="0C69B82D" w:rsidR="00C362D0" w:rsidRDefault="00C362D0" w:rsidP="00C362D0">
      <w:pPr>
        <w:ind w:left="720" w:hanging="720"/>
        <w:rPr>
          <w:rFonts w:cs="Arial"/>
          <w:color w:val="000000" w:themeColor="text1"/>
          <w:lang w:eastAsia="en-GB"/>
        </w:rPr>
      </w:pPr>
    </w:p>
    <w:p w14:paraId="4ECB4FD1" w14:textId="68C1EAFA" w:rsidR="00C362D0" w:rsidRDefault="00C362D0" w:rsidP="00C362D0">
      <w:pPr>
        <w:ind w:left="720" w:hanging="720"/>
        <w:rPr>
          <w:rFonts w:cs="Arial"/>
          <w:color w:val="000000" w:themeColor="text1"/>
          <w:lang w:eastAsia="en-GB"/>
        </w:rPr>
      </w:pPr>
    </w:p>
    <w:p w14:paraId="726061CB" w14:textId="769494F1" w:rsidR="00C362D0" w:rsidRDefault="00C362D0" w:rsidP="00C362D0">
      <w:pPr>
        <w:ind w:left="720" w:hanging="720"/>
        <w:rPr>
          <w:rFonts w:cs="Arial"/>
          <w:color w:val="000000" w:themeColor="text1"/>
          <w:lang w:eastAsia="en-GB"/>
        </w:rPr>
      </w:pPr>
    </w:p>
    <w:p w14:paraId="3D22C67B" w14:textId="7A2529EE" w:rsidR="00C362D0" w:rsidRDefault="00C362D0" w:rsidP="00C362D0">
      <w:pPr>
        <w:ind w:left="720" w:hanging="720"/>
        <w:rPr>
          <w:rFonts w:cs="Arial"/>
          <w:color w:val="000000" w:themeColor="text1"/>
          <w:lang w:eastAsia="en-GB"/>
        </w:rPr>
      </w:pPr>
    </w:p>
    <w:p w14:paraId="7EC69A13" w14:textId="2411CC9B" w:rsidR="00C362D0" w:rsidRDefault="00C362D0" w:rsidP="00C362D0">
      <w:pPr>
        <w:ind w:left="720" w:hanging="720"/>
        <w:rPr>
          <w:rFonts w:cs="Arial"/>
          <w:color w:val="000000" w:themeColor="text1"/>
          <w:lang w:eastAsia="en-GB"/>
        </w:rPr>
      </w:pPr>
    </w:p>
    <w:p w14:paraId="59E319F8" w14:textId="786819C1" w:rsidR="00C362D0" w:rsidRDefault="00C362D0" w:rsidP="00C362D0">
      <w:pPr>
        <w:ind w:left="720" w:hanging="720"/>
        <w:rPr>
          <w:rFonts w:cs="Arial"/>
          <w:color w:val="000000" w:themeColor="text1"/>
          <w:lang w:eastAsia="en-GB"/>
        </w:rPr>
      </w:pPr>
    </w:p>
    <w:p w14:paraId="4CB0F913" w14:textId="3C502066" w:rsidR="00C362D0" w:rsidRDefault="00C362D0" w:rsidP="00C362D0">
      <w:pPr>
        <w:ind w:left="720" w:hanging="720"/>
        <w:rPr>
          <w:rFonts w:cs="Arial"/>
          <w:color w:val="000000" w:themeColor="text1"/>
          <w:lang w:eastAsia="en-GB"/>
        </w:rPr>
      </w:pPr>
    </w:p>
    <w:p w14:paraId="68F7C25E" w14:textId="03E87DC6" w:rsidR="00C362D0" w:rsidRDefault="00C362D0" w:rsidP="00C362D0">
      <w:pPr>
        <w:ind w:left="720" w:hanging="720"/>
        <w:rPr>
          <w:rFonts w:cs="Arial"/>
          <w:color w:val="000000" w:themeColor="text1"/>
          <w:lang w:eastAsia="en-GB"/>
        </w:rPr>
      </w:pPr>
    </w:p>
    <w:p w14:paraId="092DBE72" w14:textId="3AEFC0A7" w:rsidR="00C362D0" w:rsidRDefault="00C362D0" w:rsidP="00C362D0">
      <w:pPr>
        <w:ind w:left="720" w:hanging="720"/>
        <w:rPr>
          <w:rFonts w:cs="Arial"/>
          <w:color w:val="000000" w:themeColor="text1"/>
          <w:lang w:eastAsia="en-GB"/>
        </w:rPr>
      </w:pPr>
    </w:p>
    <w:p w14:paraId="1ABEAB13" w14:textId="1FB5BAAA" w:rsidR="00C362D0" w:rsidRDefault="00C362D0" w:rsidP="00C362D0">
      <w:pPr>
        <w:ind w:left="720" w:hanging="720"/>
        <w:rPr>
          <w:rFonts w:cs="Arial"/>
          <w:color w:val="000000" w:themeColor="text1"/>
          <w:lang w:eastAsia="en-GB"/>
        </w:rPr>
      </w:pPr>
    </w:p>
    <w:p w14:paraId="19C6DF88" w14:textId="7D7A1ABA" w:rsidR="00C362D0" w:rsidRDefault="00C362D0" w:rsidP="00C362D0">
      <w:pPr>
        <w:ind w:left="720" w:hanging="720"/>
        <w:rPr>
          <w:rFonts w:cs="Arial"/>
          <w:color w:val="000000" w:themeColor="text1"/>
          <w:lang w:eastAsia="en-GB"/>
        </w:rPr>
      </w:pPr>
    </w:p>
    <w:p w14:paraId="506045DC" w14:textId="1864DF2B" w:rsidR="00C362D0" w:rsidRDefault="00C362D0" w:rsidP="00C362D0">
      <w:pPr>
        <w:ind w:left="720" w:hanging="720"/>
        <w:rPr>
          <w:rFonts w:cs="Arial"/>
          <w:color w:val="000000" w:themeColor="text1"/>
          <w:lang w:eastAsia="en-GB"/>
        </w:rPr>
      </w:pPr>
    </w:p>
    <w:p w14:paraId="70D22AB7" w14:textId="49BDB43A" w:rsidR="00C362D0" w:rsidRDefault="00C362D0" w:rsidP="00C362D0">
      <w:pPr>
        <w:ind w:left="720" w:hanging="720"/>
        <w:rPr>
          <w:rFonts w:cs="Arial"/>
          <w:color w:val="000000" w:themeColor="text1"/>
          <w:lang w:eastAsia="en-GB"/>
        </w:rPr>
      </w:pPr>
    </w:p>
    <w:p w14:paraId="0DB7F7C1" w14:textId="65A8630E" w:rsidR="00C362D0" w:rsidRDefault="00C362D0" w:rsidP="00C362D0">
      <w:pPr>
        <w:ind w:left="720" w:hanging="720"/>
        <w:rPr>
          <w:rFonts w:cs="Arial"/>
          <w:color w:val="000000" w:themeColor="text1"/>
          <w:lang w:eastAsia="en-GB"/>
        </w:rPr>
      </w:pPr>
    </w:p>
    <w:p w14:paraId="07ECF5EB" w14:textId="28A2E614" w:rsidR="00C362D0" w:rsidRDefault="00C362D0" w:rsidP="00C362D0">
      <w:pPr>
        <w:ind w:left="720" w:hanging="720"/>
        <w:rPr>
          <w:rFonts w:cs="Arial"/>
          <w:color w:val="000000" w:themeColor="text1"/>
          <w:lang w:eastAsia="en-GB"/>
        </w:rPr>
      </w:pPr>
    </w:p>
    <w:p w14:paraId="0C615F77" w14:textId="0E9815AD" w:rsidR="00C362D0" w:rsidRDefault="00C362D0" w:rsidP="00C362D0">
      <w:pPr>
        <w:ind w:left="720" w:hanging="720"/>
        <w:rPr>
          <w:rFonts w:cs="Arial"/>
          <w:color w:val="000000" w:themeColor="text1"/>
          <w:lang w:eastAsia="en-GB"/>
        </w:rPr>
      </w:pPr>
    </w:p>
    <w:p w14:paraId="7B843F39" w14:textId="1B7A6273" w:rsidR="00C362D0" w:rsidRDefault="00C362D0" w:rsidP="00C362D0">
      <w:pPr>
        <w:ind w:left="720" w:hanging="720"/>
        <w:rPr>
          <w:rFonts w:cs="Arial"/>
          <w:color w:val="000000" w:themeColor="text1"/>
          <w:lang w:eastAsia="en-GB"/>
        </w:rPr>
      </w:pPr>
    </w:p>
    <w:p w14:paraId="411F8941" w14:textId="71E15448" w:rsidR="00C362D0" w:rsidRDefault="00C362D0" w:rsidP="00C362D0">
      <w:pPr>
        <w:ind w:left="720" w:hanging="720"/>
        <w:rPr>
          <w:rFonts w:cs="Arial"/>
          <w:color w:val="000000" w:themeColor="text1"/>
          <w:lang w:eastAsia="en-GB"/>
        </w:rPr>
      </w:pPr>
    </w:p>
    <w:p w14:paraId="0603B93A" w14:textId="41A1AC0C" w:rsidR="00C362D0" w:rsidRDefault="00C362D0" w:rsidP="00032216">
      <w:pPr>
        <w:rPr>
          <w:rFonts w:cs="Arial"/>
          <w:color w:val="000000" w:themeColor="text1"/>
          <w:lang w:eastAsia="en-GB"/>
        </w:rPr>
      </w:pPr>
    </w:p>
    <w:p w14:paraId="725222F2" w14:textId="54138EE8" w:rsidR="00840B05" w:rsidRDefault="00840B05" w:rsidP="00032216">
      <w:pPr>
        <w:rPr>
          <w:rFonts w:cs="Arial"/>
          <w:color w:val="000000" w:themeColor="text1"/>
          <w:lang w:eastAsia="en-GB"/>
        </w:rPr>
      </w:pPr>
    </w:p>
    <w:p w14:paraId="0D5E30D4" w14:textId="7183E09F" w:rsidR="00840B05" w:rsidRDefault="00840B05" w:rsidP="00032216">
      <w:pPr>
        <w:rPr>
          <w:rFonts w:cs="Arial"/>
          <w:color w:val="000000" w:themeColor="text1"/>
          <w:lang w:eastAsia="en-GB"/>
        </w:rPr>
      </w:pPr>
    </w:p>
    <w:p w14:paraId="6B4D2906" w14:textId="1DE753FE" w:rsidR="00840B05" w:rsidRDefault="00840B05" w:rsidP="00032216">
      <w:pPr>
        <w:rPr>
          <w:rFonts w:cs="Arial"/>
          <w:color w:val="000000" w:themeColor="text1"/>
          <w:lang w:eastAsia="en-GB"/>
        </w:rPr>
      </w:pPr>
    </w:p>
    <w:p w14:paraId="4E8DFB88" w14:textId="77777777" w:rsidR="00D82DCC" w:rsidRDefault="00D82DCC" w:rsidP="00032216">
      <w:pPr>
        <w:rPr>
          <w:rFonts w:cs="Arial"/>
          <w:color w:val="000000" w:themeColor="text1"/>
          <w:lang w:eastAsia="en-GB"/>
        </w:rPr>
      </w:pPr>
    </w:p>
    <w:p w14:paraId="1D54AC23" w14:textId="46C30D49" w:rsidR="00C362D0" w:rsidRDefault="00C362D0" w:rsidP="00C362D0">
      <w:pPr>
        <w:pStyle w:val="Heading1"/>
        <w:rPr>
          <w:lang w:eastAsia="en-GB"/>
        </w:rPr>
      </w:pPr>
      <w:r>
        <w:rPr>
          <w:lang w:eastAsia="en-GB"/>
        </w:rPr>
        <w:lastRenderedPageBreak/>
        <w:t>APPENDIX 1: LOCAL HOUSING NEED AND THE STANDARD METHOD</w:t>
      </w:r>
    </w:p>
    <w:p w14:paraId="43E184C8" w14:textId="75D7877F" w:rsidR="00C362D0" w:rsidRDefault="00C362D0" w:rsidP="00C362D0">
      <w:pPr>
        <w:rPr>
          <w:lang w:eastAsia="en-GB"/>
        </w:rPr>
      </w:pPr>
    </w:p>
    <w:p w14:paraId="68760B06" w14:textId="3F952088" w:rsidR="00C362D0" w:rsidRDefault="00C362D0" w:rsidP="00C362D0">
      <w:pPr>
        <w:pStyle w:val="Heading2"/>
        <w:rPr>
          <w:b/>
          <w:bCs/>
          <w:lang w:eastAsia="en-GB"/>
        </w:rPr>
      </w:pPr>
      <w:r>
        <w:rPr>
          <w:b/>
          <w:bCs/>
          <w:lang w:eastAsia="en-GB"/>
        </w:rPr>
        <w:t>Erewash housing land supply position</w:t>
      </w:r>
    </w:p>
    <w:p w14:paraId="570DCE82" w14:textId="47B8278B" w:rsidR="00011EA8" w:rsidRDefault="00011EA8" w:rsidP="00011EA8">
      <w:pPr>
        <w:rPr>
          <w:lang w:eastAsia="en-GB"/>
        </w:rPr>
      </w:pPr>
    </w:p>
    <w:p w14:paraId="7ED1E2EC" w14:textId="42BB69EB" w:rsidR="00011EA8" w:rsidRPr="00011EA8" w:rsidRDefault="00011EA8" w:rsidP="00011EA8">
      <w:pPr>
        <w:rPr>
          <w:b/>
          <w:bCs/>
          <w:lang w:eastAsia="en-GB"/>
        </w:rPr>
      </w:pPr>
      <w:r w:rsidRPr="00011EA8">
        <w:rPr>
          <w:b/>
          <w:bCs/>
          <w:lang w:eastAsia="en-GB"/>
        </w:rPr>
        <w:t>(A) Setting the baseline:</w:t>
      </w:r>
    </w:p>
    <w:tbl>
      <w:tblPr>
        <w:tblStyle w:val="TableGrid"/>
        <w:tblW w:w="0" w:type="auto"/>
        <w:tblLook w:val="04A0" w:firstRow="1" w:lastRow="0" w:firstColumn="1" w:lastColumn="0" w:noHBand="0" w:noVBand="1"/>
        <w:tblCaption w:val="A - Setting the baseline"/>
        <w:tblDescription w:val="Sets baseline for local housing need calculation"/>
      </w:tblPr>
      <w:tblGrid>
        <w:gridCol w:w="1271"/>
        <w:gridCol w:w="5670"/>
        <w:gridCol w:w="2075"/>
      </w:tblGrid>
      <w:tr w:rsidR="00C362D0" w14:paraId="5D0A83FD" w14:textId="77777777" w:rsidTr="00B00FAB">
        <w:trPr>
          <w:cantSplit/>
          <w:tblHeader/>
        </w:trPr>
        <w:tc>
          <w:tcPr>
            <w:tcW w:w="1271" w:type="dxa"/>
          </w:tcPr>
          <w:p w14:paraId="4C24CFBB" w14:textId="1AD85658" w:rsidR="00C362D0" w:rsidRPr="00011EA8" w:rsidRDefault="00011EA8" w:rsidP="00C362D0">
            <w:pPr>
              <w:rPr>
                <w:b/>
                <w:bCs/>
                <w:lang w:eastAsia="en-GB"/>
              </w:rPr>
            </w:pPr>
            <w:r w:rsidRPr="00011EA8">
              <w:rPr>
                <w:b/>
                <w:bCs/>
                <w:lang w:eastAsia="en-GB"/>
              </w:rPr>
              <w:t>Stage</w:t>
            </w:r>
          </w:p>
        </w:tc>
        <w:tc>
          <w:tcPr>
            <w:tcW w:w="5670" w:type="dxa"/>
          </w:tcPr>
          <w:p w14:paraId="3B420D87" w14:textId="66228197" w:rsidR="00C362D0" w:rsidRPr="00011EA8" w:rsidRDefault="00011EA8" w:rsidP="00C362D0">
            <w:pPr>
              <w:rPr>
                <w:b/>
                <w:bCs/>
                <w:lang w:eastAsia="en-GB"/>
              </w:rPr>
            </w:pPr>
            <w:r w:rsidRPr="00011EA8">
              <w:rPr>
                <w:b/>
                <w:bCs/>
                <w:lang w:eastAsia="en-GB"/>
              </w:rPr>
              <w:t>Task</w:t>
            </w:r>
          </w:p>
        </w:tc>
        <w:tc>
          <w:tcPr>
            <w:tcW w:w="2075" w:type="dxa"/>
          </w:tcPr>
          <w:p w14:paraId="700DD0A7" w14:textId="41F101E2" w:rsidR="00C362D0" w:rsidRPr="00011EA8" w:rsidRDefault="00011EA8" w:rsidP="00C362D0">
            <w:pPr>
              <w:rPr>
                <w:b/>
                <w:bCs/>
                <w:lang w:eastAsia="en-GB"/>
              </w:rPr>
            </w:pPr>
            <w:r w:rsidRPr="00011EA8">
              <w:rPr>
                <w:b/>
                <w:bCs/>
                <w:lang w:eastAsia="en-GB"/>
              </w:rPr>
              <w:t>Calculation</w:t>
            </w:r>
          </w:p>
        </w:tc>
      </w:tr>
      <w:tr w:rsidR="00C362D0" w14:paraId="090B42B8" w14:textId="77777777" w:rsidTr="00B00FAB">
        <w:trPr>
          <w:cantSplit/>
          <w:tblHeader/>
        </w:trPr>
        <w:tc>
          <w:tcPr>
            <w:tcW w:w="1271" w:type="dxa"/>
          </w:tcPr>
          <w:p w14:paraId="77765B58" w14:textId="5A8CD2C7" w:rsidR="00C362D0" w:rsidRPr="00011EA8" w:rsidRDefault="00011EA8" w:rsidP="00C362D0">
            <w:pPr>
              <w:rPr>
                <w:b/>
                <w:bCs/>
                <w:lang w:eastAsia="en-GB"/>
              </w:rPr>
            </w:pPr>
            <w:r w:rsidRPr="00011EA8">
              <w:rPr>
                <w:b/>
                <w:bCs/>
                <w:lang w:eastAsia="en-GB"/>
              </w:rPr>
              <w:t>A1</w:t>
            </w:r>
          </w:p>
        </w:tc>
        <w:tc>
          <w:tcPr>
            <w:tcW w:w="5670" w:type="dxa"/>
          </w:tcPr>
          <w:p w14:paraId="129B4864" w14:textId="21EF029C" w:rsidR="00C362D0" w:rsidRDefault="00B00FAB" w:rsidP="00C362D0">
            <w:pPr>
              <w:rPr>
                <w:lang w:eastAsia="en-GB"/>
              </w:rPr>
            </w:pPr>
            <w:r w:rsidRPr="00C362D0">
              <w:rPr>
                <w:rFonts w:cs="Arial"/>
              </w:rPr>
              <w:t>Household projection</w:t>
            </w:r>
            <w:r>
              <w:rPr>
                <w:rFonts w:cs="Arial"/>
              </w:rPr>
              <w:t>s</w:t>
            </w:r>
            <w:r w:rsidRPr="00C362D0">
              <w:rPr>
                <w:rFonts w:cs="Arial"/>
              </w:rPr>
              <w:t xml:space="preserve"> 20</w:t>
            </w:r>
            <w:r>
              <w:rPr>
                <w:rFonts w:cs="Arial"/>
              </w:rPr>
              <w:t>22</w:t>
            </w:r>
            <w:r w:rsidRPr="00C362D0">
              <w:rPr>
                <w:rFonts w:cs="Arial"/>
              </w:rPr>
              <w:t xml:space="preserve"> - </w:t>
            </w:r>
            <w:r w:rsidRPr="00C362D0">
              <w:rPr>
                <w:rFonts w:cs="Arial"/>
                <w:b/>
              </w:rPr>
              <w:t>5</w:t>
            </w:r>
            <w:r>
              <w:rPr>
                <w:rFonts w:cs="Arial"/>
                <w:b/>
              </w:rPr>
              <w:t>2</w:t>
            </w:r>
            <w:r w:rsidRPr="00C362D0">
              <w:rPr>
                <w:rFonts w:cs="Arial"/>
                <w:b/>
              </w:rPr>
              <w:t>,</w:t>
            </w:r>
            <w:r>
              <w:rPr>
                <w:rFonts w:cs="Arial"/>
                <w:b/>
              </w:rPr>
              <w:t>921</w:t>
            </w:r>
            <w:r w:rsidRPr="00C362D0">
              <w:rPr>
                <w:rFonts w:cs="Arial"/>
                <w:b/>
              </w:rPr>
              <w:t xml:space="preserve"> homes</w:t>
            </w:r>
          </w:p>
        </w:tc>
        <w:tc>
          <w:tcPr>
            <w:tcW w:w="2075" w:type="dxa"/>
          </w:tcPr>
          <w:p w14:paraId="6A34DCE6" w14:textId="77777777" w:rsidR="00C362D0" w:rsidRDefault="00C362D0" w:rsidP="00C362D0">
            <w:pPr>
              <w:rPr>
                <w:lang w:eastAsia="en-GB"/>
              </w:rPr>
            </w:pPr>
          </w:p>
        </w:tc>
      </w:tr>
      <w:tr w:rsidR="00C362D0" w14:paraId="35F0CC5B" w14:textId="77777777" w:rsidTr="00B00FAB">
        <w:trPr>
          <w:cantSplit/>
          <w:tblHeader/>
        </w:trPr>
        <w:tc>
          <w:tcPr>
            <w:tcW w:w="1271" w:type="dxa"/>
          </w:tcPr>
          <w:p w14:paraId="100B342F" w14:textId="0DDA7AD6" w:rsidR="00C362D0" w:rsidRPr="00011EA8" w:rsidRDefault="00011EA8" w:rsidP="00C362D0">
            <w:pPr>
              <w:rPr>
                <w:b/>
                <w:bCs/>
                <w:lang w:eastAsia="en-GB"/>
              </w:rPr>
            </w:pPr>
            <w:r w:rsidRPr="00011EA8">
              <w:rPr>
                <w:b/>
                <w:bCs/>
                <w:lang w:eastAsia="en-GB"/>
              </w:rPr>
              <w:t>A2</w:t>
            </w:r>
          </w:p>
        </w:tc>
        <w:tc>
          <w:tcPr>
            <w:tcW w:w="5670" w:type="dxa"/>
          </w:tcPr>
          <w:p w14:paraId="18DDB06A" w14:textId="6134E6D4" w:rsidR="00C362D0" w:rsidRDefault="00B00FAB" w:rsidP="00C362D0">
            <w:pPr>
              <w:rPr>
                <w:lang w:eastAsia="en-GB"/>
              </w:rPr>
            </w:pPr>
            <w:r w:rsidRPr="00C362D0">
              <w:rPr>
                <w:rFonts w:cs="Arial"/>
              </w:rPr>
              <w:t>Household projection</w:t>
            </w:r>
            <w:r>
              <w:rPr>
                <w:rFonts w:cs="Arial"/>
              </w:rPr>
              <w:t>s</w:t>
            </w:r>
            <w:r w:rsidRPr="00C362D0">
              <w:rPr>
                <w:rFonts w:cs="Arial"/>
              </w:rPr>
              <w:t xml:space="preserve"> 20</w:t>
            </w:r>
            <w:r>
              <w:rPr>
                <w:rFonts w:cs="Arial"/>
              </w:rPr>
              <w:t>32</w:t>
            </w:r>
            <w:r w:rsidRPr="00C362D0">
              <w:rPr>
                <w:rFonts w:cs="Arial"/>
              </w:rPr>
              <w:t xml:space="preserve"> </w:t>
            </w:r>
            <w:r>
              <w:rPr>
                <w:rFonts w:cs="Arial"/>
              </w:rPr>
              <w:t>–</w:t>
            </w:r>
            <w:r w:rsidRPr="00C362D0">
              <w:rPr>
                <w:rFonts w:cs="Arial"/>
              </w:rPr>
              <w:t xml:space="preserve"> </w:t>
            </w:r>
            <w:r w:rsidRPr="0094084B">
              <w:rPr>
                <w:rFonts w:cs="Arial"/>
                <w:b/>
                <w:bCs/>
              </w:rPr>
              <w:t>56,298</w:t>
            </w:r>
            <w:r w:rsidRPr="00C362D0">
              <w:rPr>
                <w:rFonts w:cs="Arial"/>
                <w:b/>
              </w:rPr>
              <w:t xml:space="preserve"> homes</w:t>
            </w:r>
          </w:p>
        </w:tc>
        <w:tc>
          <w:tcPr>
            <w:tcW w:w="2075" w:type="dxa"/>
          </w:tcPr>
          <w:p w14:paraId="0BC594F9" w14:textId="77777777" w:rsidR="00C362D0" w:rsidRDefault="00C362D0" w:rsidP="00C362D0">
            <w:pPr>
              <w:rPr>
                <w:lang w:eastAsia="en-GB"/>
              </w:rPr>
            </w:pPr>
          </w:p>
        </w:tc>
      </w:tr>
      <w:tr w:rsidR="00C362D0" w14:paraId="6ECA5496" w14:textId="77777777" w:rsidTr="00B00FAB">
        <w:trPr>
          <w:cantSplit/>
          <w:tblHeader/>
        </w:trPr>
        <w:tc>
          <w:tcPr>
            <w:tcW w:w="1271" w:type="dxa"/>
          </w:tcPr>
          <w:p w14:paraId="71DC85DD" w14:textId="52608EF2" w:rsidR="00C362D0" w:rsidRPr="00011EA8" w:rsidRDefault="00011EA8" w:rsidP="00C362D0">
            <w:pPr>
              <w:rPr>
                <w:b/>
                <w:bCs/>
                <w:lang w:eastAsia="en-GB"/>
              </w:rPr>
            </w:pPr>
            <w:r w:rsidRPr="00011EA8">
              <w:rPr>
                <w:b/>
                <w:bCs/>
                <w:lang w:eastAsia="en-GB"/>
              </w:rPr>
              <w:t>A3</w:t>
            </w:r>
          </w:p>
        </w:tc>
        <w:tc>
          <w:tcPr>
            <w:tcW w:w="5670" w:type="dxa"/>
          </w:tcPr>
          <w:p w14:paraId="34086214" w14:textId="1E126C2B" w:rsidR="00C362D0" w:rsidRDefault="00B00FAB" w:rsidP="00C362D0">
            <w:pPr>
              <w:rPr>
                <w:lang w:eastAsia="en-GB"/>
              </w:rPr>
            </w:pPr>
            <w:r w:rsidRPr="00C362D0">
              <w:rPr>
                <w:rFonts w:cs="Arial"/>
              </w:rPr>
              <w:t xml:space="preserve">Ten-year projected household growth = </w:t>
            </w:r>
            <w:r w:rsidRPr="00C362D0">
              <w:rPr>
                <w:rFonts w:cs="Arial"/>
                <w:b/>
              </w:rPr>
              <w:t>3,</w:t>
            </w:r>
            <w:r>
              <w:rPr>
                <w:rFonts w:cs="Arial"/>
                <w:b/>
              </w:rPr>
              <w:t>377</w:t>
            </w:r>
            <w:r w:rsidRPr="00C362D0">
              <w:rPr>
                <w:rFonts w:cs="Arial"/>
                <w:b/>
              </w:rPr>
              <w:t xml:space="preserve"> homes</w:t>
            </w:r>
          </w:p>
        </w:tc>
        <w:tc>
          <w:tcPr>
            <w:tcW w:w="2075" w:type="dxa"/>
          </w:tcPr>
          <w:p w14:paraId="40A7573B" w14:textId="03C2EECF" w:rsidR="00C362D0" w:rsidRDefault="00B00FAB" w:rsidP="00C362D0">
            <w:pPr>
              <w:rPr>
                <w:lang w:eastAsia="en-GB"/>
              </w:rPr>
            </w:pPr>
            <w:r w:rsidRPr="00C362D0">
              <w:rPr>
                <w:rFonts w:cs="Arial"/>
              </w:rPr>
              <w:t>(A2 – A1)</w:t>
            </w:r>
          </w:p>
        </w:tc>
      </w:tr>
      <w:tr w:rsidR="00C362D0" w14:paraId="01F089B3" w14:textId="77777777" w:rsidTr="00B00FAB">
        <w:trPr>
          <w:cantSplit/>
          <w:tblHeader/>
        </w:trPr>
        <w:tc>
          <w:tcPr>
            <w:tcW w:w="1271" w:type="dxa"/>
          </w:tcPr>
          <w:p w14:paraId="631BFCBF" w14:textId="708DC259" w:rsidR="00C362D0" w:rsidRPr="00011EA8" w:rsidRDefault="00011EA8" w:rsidP="00C362D0">
            <w:pPr>
              <w:rPr>
                <w:b/>
                <w:bCs/>
                <w:lang w:eastAsia="en-GB"/>
              </w:rPr>
            </w:pPr>
            <w:r w:rsidRPr="00011EA8">
              <w:rPr>
                <w:b/>
                <w:bCs/>
                <w:lang w:eastAsia="en-GB"/>
              </w:rPr>
              <w:t>A4</w:t>
            </w:r>
          </w:p>
        </w:tc>
        <w:tc>
          <w:tcPr>
            <w:tcW w:w="5670" w:type="dxa"/>
          </w:tcPr>
          <w:p w14:paraId="43BC07C6" w14:textId="1A63A816" w:rsidR="00C362D0" w:rsidRDefault="00B00FAB" w:rsidP="00C362D0">
            <w:pPr>
              <w:rPr>
                <w:lang w:eastAsia="en-GB"/>
              </w:rPr>
            </w:pPr>
            <w:r w:rsidRPr="00C362D0">
              <w:rPr>
                <w:rFonts w:cs="Arial"/>
              </w:rPr>
              <w:t xml:space="preserve">Yearly projected household growth = </w:t>
            </w:r>
            <w:r w:rsidRPr="00C362D0">
              <w:rPr>
                <w:rFonts w:cs="Arial"/>
                <w:b/>
              </w:rPr>
              <w:t>3</w:t>
            </w:r>
            <w:r>
              <w:rPr>
                <w:rFonts w:cs="Arial"/>
                <w:b/>
              </w:rPr>
              <w:t>37</w:t>
            </w:r>
            <w:r w:rsidRPr="00C362D0">
              <w:rPr>
                <w:rFonts w:cs="Arial"/>
                <w:b/>
              </w:rPr>
              <w:t>.7 homes</w:t>
            </w:r>
          </w:p>
        </w:tc>
        <w:tc>
          <w:tcPr>
            <w:tcW w:w="2075" w:type="dxa"/>
          </w:tcPr>
          <w:p w14:paraId="1F830F59" w14:textId="11BD45DC" w:rsidR="00C362D0" w:rsidRDefault="00B00FAB" w:rsidP="00C362D0">
            <w:pPr>
              <w:rPr>
                <w:lang w:eastAsia="en-GB"/>
              </w:rPr>
            </w:pPr>
            <w:r w:rsidRPr="00C362D0">
              <w:rPr>
                <w:rFonts w:cs="Arial"/>
              </w:rPr>
              <w:t>(A3 / 10)</w:t>
            </w:r>
          </w:p>
        </w:tc>
      </w:tr>
    </w:tbl>
    <w:p w14:paraId="7B8138FB" w14:textId="4BAF6E33" w:rsidR="00C362D0" w:rsidRDefault="00C362D0" w:rsidP="00C362D0">
      <w:pPr>
        <w:rPr>
          <w:lang w:eastAsia="en-GB"/>
        </w:rPr>
      </w:pPr>
    </w:p>
    <w:p w14:paraId="24237FD5" w14:textId="34F83B98" w:rsidR="00011EA8" w:rsidRPr="00011EA8" w:rsidRDefault="00011EA8" w:rsidP="00C362D0">
      <w:pPr>
        <w:rPr>
          <w:b/>
          <w:bCs/>
          <w:lang w:eastAsia="en-GB"/>
        </w:rPr>
      </w:pPr>
      <w:r w:rsidRPr="00011EA8">
        <w:rPr>
          <w:b/>
          <w:bCs/>
          <w:lang w:eastAsia="en-GB"/>
        </w:rPr>
        <w:t>(B) Affordability ratio:</w:t>
      </w:r>
    </w:p>
    <w:tbl>
      <w:tblPr>
        <w:tblStyle w:val="TableGrid"/>
        <w:tblW w:w="0" w:type="auto"/>
        <w:tblLook w:val="04A0" w:firstRow="1" w:lastRow="0" w:firstColumn="1" w:lastColumn="0" w:noHBand="0" w:noVBand="1"/>
        <w:tblCaption w:val="B - Affordability ratio"/>
        <w:tblDescription w:val="Calculates the affordability ratio for the sum"/>
      </w:tblPr>
      <w:tblGrid>
        <w:gridCol w:w="1271"/>
        <w:gridCol w:w="5670"/>
        <w:gridCol w:w="2075"/>
      </w:tblGrid>
      <w:tr w:rsidR="00011EA8" w14:paraId="4D245624" w14:textId="77777777" w:rsidTr="00B00FAB">
        <w:trPr>
          <w:cantSplit/>
          <w:tblHeader/>
        </w:trPr>
        <w:tc>
          <w:tcPr>
            <w:tcW w:w="1271" w:type="dxa"/>
          </w:tcPr>
          <w:p w14:paraId="1A0E8E1F" w14:textId="6EF01689" w:rsidR="00011EA8" w:rsidRPr="00011EA8" w:rsidRDefault="00011EA8" w:rsidP="00C362D0">
            <w:pPr>
              <w:rPr>
                <w:b/>
                <w:bCs/>
                <w:lang w:eastAsia="en-GB"/>
              </w:rPr>
            </w:pPr>
            <w:r w:rsidRPr="00011EA8">
              <w:rPr>
                <w:b/>
                <w:bCs/>
                <w:lang w:eastAsia="en-GB"/>
              </w:rPr>
              <w:t>Stage</w:t>
            </w:r>
          </w:p>
        </w:tc>
        <w:tc>
          <w:tcPr>
            <w:tcW w:w="5670" w:type="dxa"/>
          </w:tcPr>
          <w:p w14:paraId="3B6F0A3D" w14:textId="1BAB9DBF" w:rsidR="00011EA8" w:rsidRPr="00011EA8" w:rsidRDefault="00011EA8" w:rsidP="00C362D0">
            <w:pPr>
              <w:rPr>
                <w:b/>
                <w:bCs/>
                <w:lang w:eastAsia="en-GB"/>
              </w:rPr>
            </w:pPr>
            <w:r w:rsidRPr="00011EA8">
              <w:rPr>
                <w:b/>
                <w:bCs/>
                <w:lang w:eastAsia="en-GB"/>
              </w:rPr>
              <w:t>Task</w:t>
            </w:r>
          </w:p>
        </w:tc>
        <w:tc>
          <w:tcPr>
            <w:tcW w:w="2075" w:type="dxa"/>
          </w:tcPr>
          <w:p w14:paraId="2DE88ADF" w14:textId="6FBF4800" w:rsidR="00011EA8" w:rsidRPr="00011EA8" w:rsidRDefault="00011EA8" w:rsidP="00C362D0">
            <w:pPr>
              <w:rPr>
                <w:b/>
                <w:bCs/>
                <w:lang w:eastAsia="en-GB"/>
              </w:rPr>
            </w:pPr>
            <w:r w:rsidRPr="00011EA8">
              <w:rPr>
                <w:b/>
                <w:bCs/>
                <w:lang w:eastAsia="en-GB"/>
              </w:rPr>
              <w:t>Calculation</w:t>
            </w:r>
          </w:p>
        </w:tc>
      </w:tr>
      <w:tr w:rsidR="00011EA8" w14:paraId="32926164" w14:textId="77777777" w:rsidTr="00B00FAB">
        <w:trPr>
          <w:cantSplit/>
          <w:tblHeader/>
        </w:trPr>
        <w:tc>
          <w:tcPr>
            <w:tcW w:w="1271" w:type="dxa"/>
          </w:tcPr>
          <w:p w14:paraId="060987B6" w14:textId="3C6C099F" w:rsidR="00011EA8" w:rsidRPr="00011EA8" w:rsidRDefault="00011EA8" w:rsidP="00C362D0">
            <w:pPr>
              <w:rPr>
                <w:b/>
                <w:bCs/>
                <w:lang w:eastAsia="en-GB"/>
              </w:rPr>
            </w:pPr>
            <w:r w:rsidRPr="00011EA8">
              <w:rPr>
                <w:b/>
                <w:bCs/>
                <w:lang w:eastAsia="en-GB"/>
              </w:rPr>
              <w:t>B1</w:t>
            </w:r>
          </w:p>
        </w:tc>
        <w:tc>
          <w:tcPr>
            <w:tcW w:w="5670" w:type="dxa"/>
          </w:tcPr>
          <w:p w14:paraId="36A8026C" w14:textId="608A5737" w:rsidR="00011EA8" w:rsidRDefault="00B00FAB" w:rsidP="00C362D0">
            <w:pPr>
              <w:rPr>
                <w:lang w:eastAsia="en-GB"/>
              </w:rPr>
            </w:pPr>
            <w:r w:rsidRPr="00C362D0">
              <w:rPr>
                <w:rFonts w:cs="Arial"/>
              </w:rPr>
              <w:t xml:space="preserve">Median workplace-based affordability ratio (ONS) for Erewash </w:t>
            </w:r>
            <w:r>
              <w:rPr>
                <w:rFonts w:cs="Arial"/>
              </w:rPr>
              <w:t>–</w:t>
            </w:r>
            <w:r w:rsidRPr="00C362D0">
              <w:rPr>
                <w:rFonts w:cs="Arial"/>
              </w:rPr>
              <w:t xml:space="preserve"> </w:t>
            </w:r>
            <w:r w:rsidRPr="0094084B">
              <w:rPr>
                <w:rFonts w:cs="Arial"/>
                <w:b/>
                <w:bCs/>
              </w:rPr>
              <w:t>6.28</w:t>
            </w:r>
          </w:p>
        </w:tc>
        <w:tc>
          <w:tcPr>
            <w:tcW w:w="2075" w:type="dxa"/>
          </w:tcPr>
          <w:p w14:paraId="6671B0A4" w14:textId="77777777" w:rsidR="00011EA8" w:rsidRDefault="00011EA8" w:rsidP="00C362D0">
            <w:pPr>
              <w:rPr>
                <w:lang w:eastAsia="en-GB"/>
              </w:rPr>
            </w:pPr>
          </w:p>
        </w:tc>
      </w:tr>
      <w:tr w:rsidR="00011EA8" w14:paraId="1795369D" w14:textId="77777777" w:rsidTr="00B00FAB">
        <w:trPr>
          <w:cantSplit/>
          <w:tblHeader/>
        </w:trPr>
        <w:tc>
          <w:tcPr>
            <w:tcW w:w="1271" w:type="dxa"/>
          </w:tcPr>
          <w:p w14:paraId="34AEFCB1" w14:textId="51246C11" w:rsidR="00011EA8" w:rsidRPr="00011EA8" w:rsidRDefault="00011EA8" w:rsidP="00C362D0">
            <w:pPr>
              <w:rPr>
                <w:b/>
                <w:bCs/>
                <w:lang w:eastAsia="en-GB"/>
              </w:rPr>
            </w:pPr>
            <w:r w:rsidRPr="00011EA8">
              <w:rPr>
                <w:b/>
                <w:bCs/>
                <w:lang w:eastAsia="en-GB"/>
              </w:rPr>
              <w:t>B2</w:t>
            </w:r>
          </w:p>
        </w:tc>
        <w:tc>
          <w:tcPr>
            <w:tcW w:w="5670" w:type="dxa"/>
          </w:tcPr>
          <w:p w14:paraId="3820D117" w14:textId="1EA5D9C9" w:rsidR="00011EA8" w:rsidRDefault="00B00FAB" w:rsidP="00C362D0">
            <w:pPr>
              <w:rPr>
                <w:lang w:eastAsia="en-GB"/>
              </w:rPr>
            </w:pPr>
            <w:r w:rsidRPr="00C362D0">
              <w:rPr>
                <w:rFonts w:cs="Arial"/>
              </w:rPr>
              <w:t>Final ratio (after</w:t>
            </w:r>
            <w:r>
              <w:rPr>
                <w:rFonts w:cs="Arial"/>
              </w:rPr>
              <w:t xml:space="preserve"> Standard Method</w:t>
            </w:r>
            <w:r w:rsidRPr="00C362D0">
              <w:rPr>
                <w:rFonts w:cs="Arial"/>
              </w:rPr>
              <w:t xml:space="preserve"> adjustment) – </w:t>
            </w:r>
            <w:r w:rsidRPr="00C362D0">
              <w:rPr>
                <w:rFonts w:cs="Arial"/>
                <w:b/>
              </w:rPr>
              <w:t>1.</w:t>
            </w:r>
            <w:r>
              <w:rPr>
                <w:rFonts w:cs="Arial"/>
                <w:b/>
              </w:rPr>
              <w:t>1425</w:t>
            </w:r>
          </w:p>
        </w:tc>
        <w:tc>
          <w:tcPr>
            <w:tcW w:w="2075" w:type="dxa"/>
          </w:tcPr>
          <w:p w14:paraId="5E02416F" w14:textId="77777777" w:rsidR="00011EA8" w:rsidRDefault="00011EA8" w:rsidP="00C362D0">
            <w:pPr>
              <w:rPr>
                <w:lang w:eastAsia="en-GB"/>
              </w:rPr>
            </w:pPr>
          </w:p>
        </w:tc>
      </w:tr>
    </w:tbl>
    <w:p w14:paraId="32130A70" w14:textId="77777777" w:rsidR="00011EA8" w:rsidRPr="00C362D0" w:rsidRDefault="00011EA8" w:rsidP="00C362D0">
      <w:pPr>
        <w:rPr>
          <w:lang w:eastAsia="en-GB"/>
        </w:rPr>
      </w:pPr>
    </w:p>
    <w:p w14:paraId="5AA7657C" w14:textId="23164953" w:rsidR="00C362D0" w:rsidRDefault="00011EA8" w:rsidP="00C362D0">
      <w:pPr>
        <w:rPr>
          <w:b/>
          <w:bCs/>
          <w:lang w:eastAsia="en-GB"/>
        </w:rPr>
      </w:pPr>
      <w:r>
        <w:rPr>
          <w:b/>
          <w:bCs/>
          <w:lang w:eastAsia="en-GB"/>
        </w:rPr>
        <w:t>(C) Adjusted annual Local Housing Need (LHN) figure</w:t>
      </w:r>
    </w:p>
    <w:tbl>
      <w:tblPr>
        <w:tblStyle w:val="TableGrid"/>
        <w:tblW w:w="0" w:type="auto"/>
        <w:tblLook w:val="04A0" w:firstRow="1" w:lastRow="0" w:firstColumn="1" w:lastColumn="0" w:noHBand="0" w:noVBand="1"/>
        <w:tblCaption w:val="C - adjusted annual local housing need figure"/>
        <w:tblDescription w:val="This adjusts the local housing needs figure"/>
      </w:tblPr>
      <w:tblGrid>
        <w:gridCol w:w="1271"/>
        <w:gridCol w:w="5670"/>
        <w:gridCol w:w="2075"/>
      </w:tblGrid>
      <w:tr w:rsidR="00011EA8" w14:paraId="2A626528" w14:textId="77777777" w:rsidTr="00B00FAB">
        <w:trPr>
          <w:cantSplit/>
          <w:tblHeader/>
        </w:trPr>
        <w:tc>
          <w:tcPr>
            <w:tcW w:w="1271" w:type="dxa"/>
          </w:tcPr>
          <w:p w14:paraId="50EF866F" w14:textId="0BEE84C4" w:rsidR="00011EA8" w:rsidRDefault="00011EA8" w:rsidP="00C362D0">
            <w:pPr>
              <w:rPr>
                <w:b/>
                <w:bCs/>
                <w:lang w:eastAsia="en-GB"/>
              </w:rPr>
            </w:pPr>
            <w:r>
              <w:rPr>
                <w:b/>
                <w:bCs/>
                <w:lang w:eastAsia="en-GB"/>
              </w:rPr>
              <w:t>Stage</w:t>
            </w:r>
          </w:p>
        </w:tc>
        <w:tc>
          <w:tcPr>
            <w:tcW w:w="5670" w:type="dxa"/>
          </w:tcPr>
          <w:p w14:paraId="100536FB" w14:textId="1D5BD0A7" w:rsidR="00011EA8" w:rsidRDefault="00011EA8" w:rsidP="00C362D0">
            <w:pPr>
              <w:rPr>
                <w:b/>
                <w:bCs/>
                <w:lang w:eastAsia="en-GB"/>
              </w:rPr>
            </w:pPr>
            <w:r>
              <w:rPr>
                <w:b/>
                <w:bCs/>
                <w:lang w:eastAsia="en-GB"/>
              </w:rPr>
              <w:t>Task</w:t>
            </w:r>
          </w:p>
        </w:tc>
        <w:tc>
          <w:tcPr>
            <w:tcW w:w="2075" w:type="dxa"/>
          </w:tcPr>
          <w:p w14:paraId="331AE8D1" w14:textId="1974EAC6" w:rsidR="00011EA8" w:rsidRDefault="00011EA8" w:rsidP="00C362D0">
            <w:pPr>
              <w:rPr>
                <w:b/>
                <w:bCs/>
                <w:lang w:eastAsia="en-GB"/>
              </w:rPr>
            </w:pPr>
            <w:r>
              <w:rPr>
                <w:b/>
                <w:bCs/>
                <w:lang w:eastAsia="en-GB"/>
              </w:rPr>
              <w:t>Calculation</w:t>
            </w:r>
          </w:p>
        </w:tc>
      </w:tr>
      <w:tr w:rsidR="00011EA8" w14:paraId="0544A0C4" w14:textId="77777777" w:rsidTr="00B00FAB">
        <w:trPr>
          <w:cantSplit/>
          <w:tblHeader/>
        </w:trPr>
        <w:tc>
          <w:tcPr>
            <w:tcW w:w="1271" w:type="dxa"/>
          </w:tcPr>
          <w:p w14:paraId="1BCF7119" w14:textId="7AEAC4E2" w:rsidR="00011EA8" w:rsidRDefault="00011EA8" w:rsidP="00C362D0">
            <w:pPr>
              <w:rPr>
                <w:b/>
                <w:bCs/>
                <w:lang w:eastAsia="en-GB"/>
              </w:rPr>
            </w:pPr>
            <w:r>
              <w:rPr>
                <w:b/>
                <w:bCs/>
                <w:lang w:eastAsia="en-GB"/>
              </w:rPr>
              <w:t>C1</w:t>
            </w:r>
          </w:p>
        </w:tc>
        <w:tc>
          <w:tcPr>
            <w:tcW w:w="5670" w:type="dxa"/>
          </w:tcPr>
          <w:p w14:paraId="00327D17" w14:textId="7E1F18E8" w:rsidR="00011EA8" w:rsidRDefault="00B00FAB" w:rsidP="00C362D0">
            <w:pPr>
              <w:rPr>
                <w:b/>
                <w:bCs/>
                <w:lang w:eastAsia="en-GB"/>
              </w:rPr>
            </w:pPr>
            <w:r w:rsidRPr="00C362D0">
              <w:rPr>
                <w:rFonts w:cs="Arial"/>
              </w:rPr>
              <w:t xml:space="preserve">Erewash Local Housing Need figure </w:t>
            </w:r>
            <w:r>
              <w:rPr>
                <w:rFonts w:cs="Arial"/>
              </w:rPr>
              <w:t>–</w:t>
            </w:r>
            <w:r w:rsidRPr="00C362D0">
              <w:rPr>
                <w:rFonts w:cs="Arial"/>
              </w:rPr>
              <w:t xml:space="preserve"> </w:t>
            </w:r>
            <w:r w:rsidRPr="00C362D0">
              <w:rPr>
                <w:rFonts w:cs="Arial"/>
                <w:b/>
                <w:color w:val="000000" w:themeColor="text1"/>
              </w:rPr>
              <w:t>3</w:t>
            </w:r>
            <w:r>
              <w:rPr>
                <w:rFonts w:cs="Arial"/>
                <w:b/>
                <w:color w:val="000000" w:themeColor="text1"/>
              </w:rPr>
              <w:t>86 (rounded from 385.82)</w:t>
            </w:r>
          </w:p>
        </w:tc>
        <w:tc>
          <w:tcPr>
            <w:tcW w:w="2075" w:type="dxa"/>
          </w:tcPr>
          <w:p w14:paraId="2BF586E4" w14:textId="181CBD70" w:rsidR="00011EA8" w:rsidRDefault="00B00FAB" w:rsidP="00C362D0">
            <w:pPr>
              <w:rPr>
                <w:b/>
                <w:bCs/>
                <w:lang w:eastAsia="en-GB"/>
              </w:rPr>
            </w:pPr>
            <w:r w:rsidRPr="00C362D0">
              <w:rPr>
                <w:rFonts w:cs="Arial"/>
              </w:rPr>
              <w:t>(A4 x B2)</w:t>
            </w:r>
          </w:p>
        </w:tc>
      </w:tr>
    </w:tbl>
    <w:p w14:paraId="2907C46E" w14:textId="77777777" w:rsidR="00011EA8" w:rsidRPr="00011EA8" w:rsidRDefault="00011EA8" w:rsidP="00C362D0">
      <w:pPr>
        <w:rPr>
          <w:b/>
          <w:bCs/>
          <w:lang w:eastAsia="en-GB"/>
        </w:rPr>
      </w:pPr>
    </w:p>
    <w:p w14:paraId="40F53638" w14:textId="12A0DD5C" w:rsidR="00C362D0" w:rsidRDefault="00011EA8" w:rsidP="00C362D0">
      <w:pPr>
        <w:rPr>
          <w:b/>
          <w:bCs/>
          <w:lang w:eastAsia="en-GB"/>
        </w:rPr>
      </w:pPr>
      <w:r>
        <w:rPr>
          <w:b/>
          <w:bCs/>
          <w:lang w:eastAsia="en-GB"/>
        </w:rPr>
        <w:t>(D) Calculating a five-year housing supply requirement</w:t>
      </w:r>
    </w:p>
    <w:tbl>
      <w:tblPr>
        <w:tblStyle w:val="TableGrid"/>
        <w:tblW w:w="0" w:type="auto"/>
        <w:tblLook w:val="04A0" w:firstRow="1" w:lastRow="0" w:firstColumn="1" w:lastColumn="0" w:noHBand="0" w:noVBand="1"/>
        <w:tblCaption w:val="D - Calculating a five year housing supply requirement"/>
        <w:tblDescription w:val="This calculates a five year housing supply requirement"/>
      </w:tblPr>
      <w:tblGrid>
        <w:gridCol w:w="1271"/>
        <w:gridCol w:w="5670"/>
        <w:gridCol w:w="2075"/>
      </w:tblGrid>
      <w:tr w:rsidR="00011EA8" w14:paraId="60869AA9" w14:textId="77777777" w:rsidTr="00B00FAB">
        <w:trPr>
          <w:cantSplit/>
          <w:tblHeader/>
        </w:trPr>
        <w:tc>
          <w:tcPr>
            <w:tcW w:w="1271" w:type="dxa"/>
          </w:tcPr>
          <w:p w14:paraId="7E676334" w14:textId="532BDE3B" w:rsidR="00011EA8" w:rsidRDefault="00011EA8" w:rsidP="00C362D0">
            <w:pPr>
              <w:rPr>
                <w:b/>
                <w:bCs/>
                <w:lang w:eastAsia="en-GB"/>
              </w:rPr>
            </w:pPr>
            <w:r>
              <w:rPr>
                <w:b/>
                <w:bCs/>
                <w:lang w:eastAsia="en-GB"/>
              </w:rPr>
              <w:t>Stage</w:t>
            </w:r>
          </w:p>
        </w:tc>
        <w:tc>
          <w:tcPr>
            <w:tcW w:w="5670" w:type="dxa"/>
          </w:tcPr>
          <w:p w14:paraId="5F55ACE3" w14:textId="26FF82D9" w:rsidR="00011EA8" w:rsidRDefault="00011EA8" w:rsidP="00C362D0">
            <w:pPr>
              <w:rPr>
                <w:b/>
                <w:bCs/>
                <w:lang w:eastAsia="en-GB"/>
              </w:rPr>
            </w:pPr>
            <w:r>
              <w:rPr>
                <w:b/>
                <w:bCs/>
                <w:lang w:eastAsia="en-GB"/>
              </w:rPr>
              <w:t>Task</w:t>
            </w:r>
          </w:p>
        </w:tc>
        <w:tc>
          <w:tcPr>
            <w:tcW w:w="2075" w:type="dxa"/>
          </w:tcPr>
          <w:p w14:paraId="74D668FD" w14:textId="3E47DA24" w:rsidR="00011EA8" w:rsidRDefault="00011EA8" w:rsidP="00C362D0">
            <w:pPr>
              <w:rPr>
                <w:b/>
                <w:bCs/>
                <w:lang w:eastAsia="en-GB"/>
              </w:rPr>
            </w:pPr>
            <w:r>
              <w:rPr>
                <w:b/>
                <w:bCs/>
                <w:lang w:eastAsia="en-GB"/>
              </w:rPr>
              <w:t>Calculation</w:t>
            </w:r>
          </w:p>
        </w:tc>
      </w:tr>
      <w:tr w:rsidR="00011EA8" w14:paraId="1606B149" w14:textId="77777777" w:rsidTr="00B00FAB">
        <w:trPr>
          <w:cantSplit/>
          <w:tblHeader/>
        </w:trPr>
        <w:tc>
          <w:tcPr>
            <w:tcW w:w="1271" w:type="dxa"/>
          </w:tcPr>
          <w:p w14:paraId="26E81CD6" w14:textId="60327695" w:rsidR="00011EA8" w:rsidRDefault="009F6921" w:rsidP="00C362D0">
            <w:pPr>
              <w:rPr>
                <w:b/>
                <w:bCs/>
                <w:lang w:eastAsia="en-GB"/>
              </w:rPr>
            </w:pPr>
            <w:r>
              <w:rPr>
                <w:b/>
                <w:bCs/>
                <w:lang w:eastAsia="en-GB"/>
              </w:rPr>
              <w:t>D1</w:t>
            </w:r>
          </w:p>
        </w:tc>
        <w:tc>
          <w:tcPr>
            <w:tcW w:w="5670" w:type="dxa"/>
          </w:tcPr>
          <w:p w14:paraId="31A7169C" w14:textId="6C03A167" w:rsidR="00011EA8" w:rsidRDefault="00B00FAB" w:rsidP="00C362D0">
            <w:pPr>
              <w:rPr>
                <w:b/>
                <w:bCs/>
                <w:lang w:eastAsia="en-GB"/>
              </w:rPr>
            </w:pPr>
            <w:r w:rsidRPr="00C362D0">
              <w:rPr>
                <w:rFonts w:cs="Arial"/>
              </w:rPr>
              <w:t xml:space="preserve">Five-year local housing need figure </w:t>
            </w:r>
            <w:r>
              <w:rPr>
                <w:rFonts w:cs="Arial"/>
              </w:rPr>
              <w:t>–</w:t>
            </w:r>
            <w:r w:rsidRPr="00C362D0">
              <w:rPr>
                <w:rFonts w:cs="Arial"/>
              </w:rPr>
              <w:t xml:space="preserve"> </w:t>
            </w:r>
            <w:r w:rsidRPr="004023C7">
              <w:rPr>
                <w:rFonts w:cs="Arial"/>
                <w:b/>
                <w:bCs/>
              </w:rPr>
              <w:t>1,930</w:t>
            </w:r>
          </w:p>
        </w:tc>
        <w:tc>
          <w:tcPr>
            <w:tcW w:w="2075" w:type="dxa"/>
          </w:tcPr>
          <w:p w14:paraId="721B227B" w14:textId="16BDD7F1" w:rsidR="00011EA8" w:rsidRPr="00B00FAB" w:rsidRDefault="00B00FAB" w:rsidP="00C362D0">
            <w:pPr>
              <w:rPr>
                <w:bCs/>
                <w:lang w:eastAsia="en-GB"/>
              </w:rPr>
            </w:pPr>
            <w:r w:rsidRPr="00B00FAB">
              <w:rPr>
                <w:bCs/>
                <w:lang w:eastAsia="en-GB"/>
              </w:rPr>
              <w:t>(C1 x 5)</w:t>
            </w:r>
          </w:p>
        </w:tc>
      </w:tr>
      <w:tr w:rsidR="00011EA8" w14:paraId="04A8A3CB" w14:textId="77777777" w:rsidTr="00B00FAB">
        <w:trPr>
          <w:cantSplit/>
          <w:tblHeader/>
        </w:trPr>
        <w:tc>
          <w:tcPr>
            <w:tcW w:w="1271" w:type="dxa"/>
          </w:tcPr>
          <w:p w14:paraId="19CC06E1" w14:textId="0FB13C15" w:rsidR="00011EA8" w:rsidRDefault="009F6921" w:rsidP="00C362D0">
            <w:pPr>
              <w:rPr>
                <w:b/>
                <w:bCs/>
                <w:lang w:eastAsia="en-GB"/>
              </w:rPr>
            </w:pPr>
            <w:r>
              <w:rPr>
                <w:b/>
                <w:bCs/>
                <w:lang w:eastAsia="en-GB"/>
              </w:rPr>
              <w:t>D2</w:t>
            </w:r>
          </w:p>
        </w:tc>
        <w:tc>
          <w:tcPr>
            <w:tcW w:w="5670" w:type="dxa"/>
          </w:tcPr>
          <w:p w14:paraId="4330928C" w14:textId="60BFE739" w:rsidR="00011EA8" w:rsidRDefault="00B00FAB" w:rsidP="00C362D0">
            <w:pPr>
              <w:rPr>
                <w:b/>
                <w:bCs/>
                <w:lang w:eastAsia="en-GB"/>
              </w:rPr>
            </w:pPr>
            <w:r w:rsidRPr="00C362D0">
              <w:rPr>
                <w:rFonts w:cs="Arial"/>
              </w:rPr>
              <w:t>Addition of a 20% buffer (</w:t>
            </w:r>
            <w:r w:rsidRPr="004023C7">
              <w:rPr>
                <w:rFonts w:cs="Arial"/>
                <w:b/>
                <w:bCs/>
              </w:rPr>
              <w:t>386</w:t>
            </w:r>
            <w:r w:rsidRPr="00C362D0">
              <w:rPr>
                <w:rFonts w:cs="Arial"/>
              </w:rPr>
              <w:t xml:space="preserve">) due to </w:t>
            </w:r>
            <w:r w:rsidRPr="004023C7">
              <w:rPr>
                <w:rFonts w:cs="Arial"/>
                <w:b/>
                <w:bCs/>
              </w:rPr>
              <w:t>79</w:t>
            </w:r>
            <w:r w:rsidRPr="00C362D0">
              <w:rPr>
                <w:rFonts w:cs="Arial"/>
                <w:b/>
                <w:bCs/>
              </w:rPr>
              <w:t>%</w:t>
            </w:r>
            <w:r w:rsidRPr="00C362D0">
              <w:rPr>
                <w:rFonts w:cs="Arial"/>
              </w:rPr>
              <w:t xml:space="preserve"> Housing Delivery Test result</w:t>
            </w:r>
          </w:p>
        </w:tc>
        <w:tc>
          <w:tcPr>
            <w:tcW w:w="2075" w:type="dxa"/>
          </w:tcPr>
          <w:p w14:paraId="3972D02A" w14:textId="77777777" w:rsidR="00011EA8" w:rsidRDefault="00011EA8" w:rsidP="00C362D0">
            <w:pPr>
              <w:rPr>
                <w:b/>
                <w:bCs/>
                <w:lang w:eastAsia="en-GB"/>
              </w:rPr>
            </w:pPr>
          </w:p>
        </w:tc>
      </w:tr>
      <w:tr w:rsidR="00011EA8" w14:paraId="5B6AE0DE" w14:textId="77777777" w:rsidTr="00B00FAB">
        <w:trPr>
          <w:cantSplit/>
          <w:tblHeader/>
        </w:trPr>
        <w:tc>
          <w:tcPr>
            <w:tcW w:w="1271" w:type="dxa"/>
          </w:tcPr>
          <w:p w14:paraId="54A04FA1" w14:textId="2CE6B677" w:rsidR="00011EA8" w:rsidRDefault="009F6921" w:rsidP="00C362D0">
            <w:pPr>
              <w:rPr>
                <w:b/>
                <w:bCs/>
                <w:lang w:eastAsia="en-GB"/>
              </w:rPr>
            </w:pPr>
            <w:r>
              <w:rPr>
                <w:b/>
                <w:bCs/>
                <w:lang w:eastAsia="en-GB"/>
              </w:rPr>
              <w:t>D3</w:t>
            </w:r>
          </w:p>
        </w:tc>
        <w:tc>
          <w:tcPr>
            <w:tcW w:w="5670" w:type="dxa"/>
          </w:tcPr>
          <w:p w14:paraId="251BA5C3" w14:textId="2386753C" w:rsidR="00011EA8" w:rsidRDefault="00B00FAB" w:rsidP="00C362D0">
            <w:pPr>
              <w:rPr>
                <w:b/>
                <w:bCs/>
                <w:lang w:eastAsia="en-GB"/>
              </w:rPr>
            </w:pPr>
            <w:r w:rsidRPr="00C362D0">
              <w:rPr>
                <w:rFonts w:cs="Arial"/>
              </w:rPr>
              <w:t xml:space="preserve">Total five-year housing supply requirement </w:t>
            </w:r>
            <w:r>
              <w:rPr>
                <w:rFonts w:cs="Arial"/>
              </w:rPr>
              <w:t>–</w:t>
            </w:r>
            <w:r w:rsidRPr="00C362D0">
              <w:rPr>
                <w:rFonts w:cs="Arial"/>
              </w:rPr>
              <w:t xml:space="preserve"> </w:t>
            </w:r>
            <w:r w:rsidRPr="004023C7">
              <w:rPr>
                <w:rFonts w:cs="Arial"/>
                <w:b/>
                <w:bCs/>
              </w:rPr>
              <w:t>2,316</w:t>
            </w:r>
          </w:p>
        </w:tc>
        <w:tc>
          <w:tcPr>
            <w:tcW w:w="2075" w:type="dxa"/>
          </w:tcPr>
          <w:p w14:paraId="30B2EE40" w14:textId="265DD1F4" w:rsidR="00011EA8" w:rsidRPr="00B00FAB" w:rsidRDefault="00B00FAB" w:rsidP="00C362D0">
            <w:pPr>
              <w:rPr>
                <w:bCs/>
                <w:lang w:eastAsia="en-GB"/>
              </w:rPr>
            </w:pPr>
            <w:r w:rsidRPr="00B00FAB">
              <w:rPr>
                <w:bCs/>
                <w:lang w:eastAsia="en-GB"/>
              </w:rPr>
              <w:t>(D1 + D2)</w:t>
            </w:r>
          </w:p>
        </w:tc>
      </w:tr>
      <w:tr w:rsidR="00011EA8" w14:paraId="35CF65D9" w14:textId="77777777" w:rsidTr="00B00FAB">
        <w:trPr>
          <w:cantSplit/>
          <w:tblHeader/>
        </w:trPr>
        <w:tc>
          <w:tcPr>
            <w:tcW w:w="1271" w:type="dxa"/>
          </w:tcPr>
          <w:p w14:paraId="2E4199C3" w14:textId="2FA86613" w:rsidR="00011EA8" w:rsidRDefault="009F6921" w:rsidP="00C362D0">
            <w:pPr>
              <w:rPr>
                <w:b/>
                <w:bCs/>
                <w:lang w:eastAsia="en-GB"/>
              </w:rPr>
            </w:pPr>
            <w:r>
              <w:rPr>
                <w:b/>
                <w:bCs/>
                <w:lang w:eastAsia="en-GB"/>
              </w:rPr>
              <w:t>D4</w:t>
            </w:r>
          </w:p>
        </w:tc>
        <w:tc>
          <w:tcPr>
            <w:tcW w:w="5670" w:type="dxa"/>
          </w:tcPr>
          <w:p w14:paraId="25B4A402" w14:textId="6AC112BF" w:rsidR="00011EA8" w:rsidRDefault="00B00FAB" w:rsidP="00C362D0">
            <w:pPr>
              <w:rPr>
                <w:b/>
                <w:bCs/>
                <w:lang w:eastAsia="en-GB"/>
              </w:rPr>
            </w:pPr>
            <w:r w:rsidRPr="00C362D0">
              <w:rPr>
                <w:rFonts w:cs="Arial"/>
              </w:rPr>
              <w:t xml:space="preserve">Adjusted yearly supply figure - </w:t>
            </w:r>
            <w:r w:rsidRPr="004023C7">
              <w:rPr>
                <w:rFonts w:cs="Arial"/>
                <w:b/>
                <w:bCs/>
              </w:rPr>
              <w:t>463</w:t>
            </w:r>
            <w:r w:rsidRPr="00C362D0">
              <w:rPr>
                <w:rFonts w:cs="Arial"/>
                <w:b/>
              </w:rPr>
              <w:t xml:space="preserve"> homes</w:t>
            </w:r>
          </w:p>
        </w:tc>
        <w:tc>
          <w:tcPr>
            <w:tcW w:w="2075" w:type="dxa"/>
          </w:tcPr>
          <w:p w14:paraId="1E04B639" w14:textId="0852A555" w:rsidR="00011EA8" w:rsidRPr="00B00FAB" w:rsidRDefault="00B00FAB" w:rsidP="00C362D0">
            <w:pPr>
              <w:rPr>
                <w:bCs/>
                <w:lang w:eastAsia="en-GB"/>
              </w:rPr>
            </w:pPr>
            <w:r w:rsidRPr="00B00FAB">
              <w:rPr>
                <w:bCs/>
                <w:lang w:eastAsia="en-GB"/>
              </w:rPr>
              <w:t>(D3 / 5)</w:t>
            </w:r>
          </w:p>
        </w:tc>
      </w:tr>
    </w:tbl>
    <w:p w14:paraId="4058C1C7" w14:textId="6A60B803" w:rsidR="00011EA8" w:rsidRDefault="00011EA8" w:rsidP="00C362D0">
      <w:pPr>
        <w:rPr>
          <w:b/>
          <w:bCs/>
          <w:lang w:eastAsia="en-GB"/>
        </w:rPr>
      </w:pPr>
    </w:p>
    <w:p w14:paraId="1B8029C4" w14:textId="7F99E0E3" w:rsidR="009F6921" w:rsidRPr="00011EA8" w:rsidRDefault="009F6921" w:rsidP="00C362D0">
      <w:pPr>
        <w:rPr>
          <w:b/>
          <w:bCs/>
          <w:lang w:eastAsia="en-GB"/>
        </w:rPr>
      </w:pPr>
      <w:r>
        <w:rPr>
          <w:b/>
          <w:bCs/>
          <w:lang w:eastAsia="en-GB"/>
        </w:rPr>
        <w:t>(E) Erewash supply of deliverable housing land</w:t>
      </w:r>
    </w:p>
    <w:tbl>
      <w:tblPr>
        <w:tblStyle w:val="TableGrid"/>
        <w:tblW w:w="0" w:type="auto"/>
        <w:tblLook w:val="04A0" w:firstRow="1" w:lastRow="0" w:firstColumn="1" w:lastColumn="0" w:noHBand="0" w:noVBand="1"/>
        <w:tblCaption w:val="E - Erewash sources of deliverable housing land supply"/>
        <w:tblDescription w:val="Shows the components of housing land supply"/>
      </w:tblPr>
      <w:tblGrid>
        <w:gridCol w:w="1271"/>
        <w:gridCol w:w="5670"/>
        <w:gridCol w:w="2075"/>
      </w:tblGrid>
      <w:tr w:rsidR="009F6921" w14:paraId="4EB4C363" w14:textId="77777777" w:rsidTr="00B00FAB">
        <w:trPr>
          <w:cantSplit/>
          <w:tblHeader/>
        </w:trPr>
        <w:tc>
          <w:tcPr>
            <w:tcW w:w="1271" w:type="dxa"/>
          </w:tcPr>
          <w:p w14:paraId="3826FE07" w14:textId="2ED01456" w:rsidR="009F6921" w:rsidRPr="009F6921" w:rsidRDefault="009F6921" w:rsidP="00C362D0">
            <w:pPr>
              <w:rPr>
                <w:b/>
                <w:lang w:eastAsia="en-GB"/>
              </w:rPr>
            </w:pPr>
            <w:r>
              <w:rPr>
                <w:b/>
                <w:lang w:eastAsia="en-GB"/>
              </w:rPr>
              <w:t>Stage</w:t>
            </w:r>
          </w:p>
        </w:tc>
        <w:tc>
          <w:tcPr>
            <w:tcW w:w="5670" w:type="dxa"/>
          </w:tcPr>
          <w:p w14:paraId="4AEC1561" w14:textId="334D78E6" w:rsidR="009F6921" w:rsidRPr="009F6921" w:rsidRDefault="009F6921" w:rsidP="00C362D0">
            <w:pPr>
              <w:rPr>
                <w:b/>
                <w:lang w:eastAsia="en-GB"/>
              </w:rPr>
            </w:pPr>
            <w:r w:rsidRPr="009F6921">
              <w:rPr>
                <w:b/>
                <w:lang w:eastAsia="en-GB"/>
              </w:rPr>
              <w:t>Task</w:t>
            </w:r>
          </w:p>
        </w:tc>
        <w:tc>
          <w:tcPr>
            <w:tcW w:w="2075" w:type="dxa"/>
          </w:tcPr>
          <w:p w14:paraId="5DFD04FA" w14:textId="44892C74" w:rsidR="009F6921" w:rsidRPr="009F6921" w:rsidRDefault="009F6921" w:rsidP="00C362D0">
            <w:pPr>
              <w:rPr>
                <w:b/>
                <w:lang w:eastAsia="en-GB"/>
              </w:rPr>
            </w:pPr>
            <w:r w:rsidRPr="009F6921">
              <w:rPr>
                <w:b/>
                <w:lang w:eastAsia="en-GB"/>
              </w:rPr>
              <w:t>Calculation</w:t>
            </w:r>
          </w:p>
        </w:tc>
      </w:tr>
      <w:tr w:rsidR="009F6921" w14:paraId="6DFA8E65" w14:textId="77777777" w:rsidTr="00B00FAB">
        <w:trPr>
          <w:cantSplit/>
          <w:tblHeader/>
        </w:trPr>
        <w:tc>
          <w:tcPr>
            <w:tcW w:w="1271" w:type="dxa"/>
          </w:tcPr>
          <w:p w14:paraId="07B87B45" w14:textId="58EC0334" w:rsidR="009F6921" w:rsidRPr="009F6921" w:rsidRDefault="009F6921" w:rsidP="00C362D0">
            <w:pPr>
              <w:rPr>
                <w:b/>
                <w:lang w:eastAsia="en-GB"/>
              </w:rPr>
            </w:pPr>
            <w:r w:rsidRPr="009F6921">
              <w:rPr>
                <w:b/>
                <w:lang w:eastAsia="en-GB"/>
              </w:rPr>
              <w:t>E1</w:t>
            </w:r>
          </w:p>
        </w:tc>
        <w:tc>
          <w:tcPr>
            <w:tcW w:w="5670" w:type="dxa"/>
          </w:tcPr>
          <w:p w14:paraId="4B5DB26C" w14:textId="3C96D84D" w:rsidR="009F6921" w:rsidRDefault="00B00FAB" w:rsidP="00C362D0">
            <w:pPr>
              <w:rPr>
                <w:lang w:eastAsia="en-GB"/>
              </w:rPr>
            </w:pPr>
            <w:r>
              <w:rPr>
                <w:lang w:eastAsia="en-GB"/>
              </w:rPr>
              <w:t xml:space="preserve">Unadjusted supply of deliverable housing land from SHLAA 2022 – </w:t>
            </w:r>
            <w:r w:rsidRPr="00566498">
              <w:rPr>
                <w:b/>
                <w:lang w:eastAsia="en-GB"/>
              </w:rPr>
              <w:t xml:space="preserve">815 </w:t>
            </w:r>
            <w:r w:rsidR="00566498" w:rsidRPr="00566498">
              <w:rPr>
                <w:b/>
                <w:lang w:eastAsia="en-GB"/>
              </w:rPr>
              <w:t>units</w:t>
            </w:r>
          </w:p>
        </w:tc>
        <w:tc>
          <w:tcPr>
            <w:tcW w:w="2075" w:type="dxa"/>
          </w:tcPr>
          <w:p w14:paraId="6492C774" w14:textId="77777777" w:rsidR="009F6921" w:rsidRDefault="009F6921" w:rsidP="00C362D0">
            <w:pPr>
              <w:rPr>
                <w:lang w:eastAsia="en-GB"/>
              </w:rPr>
            </w:pPr>
          </w:p>
        </w:tc>
      </w:tr>
      <w:tr w:rsidR="009F6921" w14:paraId="1985320A" w14:textId="77777777" w:rsidTr="00B00FAB">
        <w:trPr>
          <w:cantSplit/>
          <w:tblHeader/>
        </w:trPr>
        <w:tc>
          <w:tcPr>
            <w:tcW w:w="1271" w:type="dxa"/>
          </w:tcPr>
          <w:p w14:paraId="4035B00D" w14:textId="4EC503C2" w:rsidR="009F6921" w:rsidRPr="009F6921" w:rsidRDefault="009F6921" w:rsidP="00C362D0">
            <w:pPr>
              <w:rPr>
                <w:b/>
                <w:lang w:eastAsia="en-GB"/>
              </w:rPr>
            </w:pPr>
            <w:r w:rsidRPr="009F6921">
              <w:rPr>
                <w:b/>
                <w:lang w:eastAsia="en-GB"/>
              </w:rPr>
              <w:t>E2</w:t>
            </w:r>
          </w:p>
        </w:tc>
        <w:tc>
          <w:tcPr>
            <w:tcW w:w="5670" w:type="dxa"/>
          </w:tcPr>
          <w:p w14:paraId="66AFCA32" w14:textId="4590A656" w:rsidR="009F6921" w:rsidRDefault="00566498" w:rsidP="00C362D0">
            <w:pPr>
              <w:rPr>
                <w:lang w:eastAsia="en-GB"/>
              </w:rPr>
            </w:pPr>
            <w:r>
              <w:rPr>
                <w:lang w:eastAsia="en-GB"/>
              </w:rPr>
              <w:t xml:space="preserve">Application of a non-implementation rate (6%), i.e. a lapse rate to live planning consents – </w:t>
            </w:r>
            <w:r w:rsidRPr="00566498">
              <w:rPr>
                <w:b/>
                <w:lang w:eastAsia="en-GB"/>
              </w:rPr>
              <w:t>766 units</w:t>
            </w:r>
          </w:p>
        </w:tc>
        <w:tc>
          <w:tcPr>
            <w:tcW w:w="2075" w:type="dxa"/>
          </w:tcPr>
          <w:p w14:paraId="00ECDA74" w14:textId="45FFEFBD" w:rsidR="009F6921" w:rsidRDefault="009F6921" w:rsidP="00C362D0">
            <w:pPr>
              <w:rPr>
                <w:lang w:eastAsia="en-GB"/>
              </w:rPr>
            </w:pPr>
          </w:p>
        </w:tc>
      </w:tr>
      <w:tr w:rsidR="009F6921" w14:paraId="52FA8C99" w14:textId="77777777" w:rsidTr="00B00FAB">
        <w:trPr>
          <w:cantSplit/>
          <w:tblHeader/>
        </w:trPr>
        <w:tc>
          <w:tcPr>
            <w:tcW w:w="1271" w:type="dxa"/>
          </w:tcPr>
          <w:p w14:paraId="25DD6F52" w14:textId="3ED9E2B7" w:rsidR="009F6921" w:rsidRPr="009F6921" w:rsidRDefault="009F6921" w:rsidP="00C362D0">
            <w:pPr>
              <w:rPr>
                <w:b/>
                <w:lang w:eastAsia="en-GB"/>
              </w:rPr>
            </w:pPr>
            <w:r w:rsidRPr="009F6921">
              <w:rPr>
                <w:b/>
                <w:lang w:eastAsia="en-GB"/>
              </w:rPr>
              <w:t>E3</w:t>
            </w:r>
          </w:p>
        </w:tc>
        <w:tc>
          <w:tcPr>
            <w:tcW w:w="5670" w:type="dxa"/>
          </w:tcPr>
          <w:p w14:paraId="3B0458EB" w14:textId="1A9EC3B7" w:rsidR="009F6921" w:rsidRDefault="00566498" w:rsidP="00C362D0">
            <w:pPr>
              <w:rPr>
                <w:lang w:eastAsia="en-GB"/>
              </w:rPr>
            </w:pPr>
            <w:r>
              <w:rPr>
                <w:lang w:eastAsia="en-GB"/>
              </w:rPr>
              <w:t xml:space="preserve">Contribution from strategic allocation sites – </w:t>
            </w:r>
            <w:r w:rsidRPr="00566498">
              <w:rPr>
                <w:b/>
                <w:lang w:eastAsia="en-GB"/>
              </w:rPr>
              <w:t>980</w:t>
            </w:r>
            <w:r>
              <w:rPr>
                <w:b/>
                <w:lang w:eastAsia="en-GB"/>
              </w:rPr>
              <w:t xml:space="preserve"> units</w:t>
            </w:r>
          </w:p>
        </w:tc>
        <w:tc>
          <w:tcPr>
            <w:tcW w:w="2075" w:type="dxa"/>
          </w:tcPr>
          <w:p w14:paraId="30D41370" w14:textId="77777777" w:rsidR="009F6921" w:rsidRDefault="009F6921" w:rsidP="00C362D0">
            <w:pPr>
              <w:rPr>
                <w:lang w:eastAsia="en-GB"/>
              </w:rPr>
            </w:pPr>
          </w:p>
        </w:tc>
      </w:tr>
      <w:tr w:rsidR="009F6921" w14:paraId="585C24C8" w14:textId="77777777" w:rsidTr="00B00FAB">
        <w:trPr>
          <w:cantSplit/>
          <w:tblHeader/>
        </w:trPr>
        <w:tc>
          <w:tcPr>
            <w:tcW w:w="1271" w:type="dxa"/>
          </w:tcPr>
          <w:p w14:paraId="70F0AC69" w14:textId="43D794CF" w:rsidR="009F6921" w:rsidRPr="009F6921" w:rsidRDefault="009F6921" w:rsidP="00C362D0">
            <w:pPr>
              <w:rPr>
                <w:b/>
                <w:lang w:eastAsia="en-GB"/>
              </w:rPr>
            </w:pPr>
            <w:r w:rsidRPr="009F6921">
              <w:rPr>
                <w:b/>
                <w:lang w:eastAsia="en-GB"/>
              </w:rPr>
              <w:t>E4</w:t>
            </w:r>
          </w:p>
        </w:tc>
        <w:tc>
          <w:tcPr>
            <w:tcW w:w="5670" w:type="dxa"/>
          </w:tcPr>
          <w:p w14:paraId="5C132863" w14:textId="070D33DA" w:rsidR="009F6921" w:rsidRDefault="00566498" w:rsidP="00C362D0">
            <w:pPr>
              <w:rPr>
                <w:lang w:eastAsia="en-GB"/>
              </w:rPr>
            </w:pPr>
            <w:r>
              <w:rPr>
                <w:lang w:eastAsia="en-GB"/>
              </w:rPr>
              <w:t xml:space="preserve">Sum of windfall supply – </w:t>
            </w:r>
            <w:r w:rsidRPr="00566498">
              <w:rPr>
                <w:b/>
                <w:lang w:eastAsia="en-GB"/>
              </w:rPr>
              <w:t>462 units</w:t>
            </w:r>
          </w:p>
        </w:tc>
        <w:tc>
          <w:tcPr>
            <w:tcW w:w="2075" w:type="dxa"/>
          </w:tcPr>
          <w:p w14:paraId="66013BB3" w14:textId="77777777" w:rsidR="009F6921" w:rsidRDefault="009F6921" w:rsidP="00C362D0">
            <w:pPr>
              <w:rPr>
                <w:lang w:eastAsia="en-GB"/>
              </w:rPr>
            </w:pPr>
          </w:p>
        </w:tc>
      </w:tr>
      <w:tr w:rsidR="009F6921" w14:paraId="553D9C4C" w14:textId="77777777" w:rsidTr="00B00FAB">
        <w:trPr>
          <w:cantSplit/>
          <w:tblHeader/>
        </w:trPr>
        <w:tc>
          <w:tcPr>
            <w:tcW w:w="1271" w:type="dxa"/>
          </w:tcPr>
          <w:p w14:paraId="322321DB" w14:textId="5C6E30F4" w:rsidR="009F6921" w:rsidRPr="009F6921" w:rsidRDefault="009F6921" w:rsidP="00C362D0">
            <w:pPr>
              <w:rPr>
                <w:b/>
                <w:lang w:eastAsia="en-GB"/>
              </w:rPr>
            </w:pPr>
            <w:r w:rsidRPr="009F6921">
              <w:rPr>
                <w:b/>
                <w:lang w:eastAsia="en-GB"/>
              </w:rPr>
              <w:t>E5</w:t>
            </w:r>
          </w:p>
        </w:tc>
        <w:tc>
          <w:tcPr>
            <w:tcW w:w="5670" w:type="dxa"/>
          </w:tcPr>
          <w:p w14:paraId="08D69F43" w14:textId="0D9A51AC" w:rsidR="009F6921" w:rsidRDefault="00566498" w:rsidP="00C362D0">
            <w:pPr>
              <w:rPr>
                <w:lang w:eastAsia="en-GB"/>
              </w:rPr>
            </w:pPr>
            <w:r>
              <w:rPr>
                <w:lang w:eastAsia="en-GB"/>
              </w:rPr>
              <w:t xml:space="preserve">Sum of EBC estates review – </w:t>
            </w:r>
            <w:r w:rsidR="00840B05">
              <w:rPr>
                <w:b/>
                <w:lang w:eastAsia="en-GB"/>
              </w:rPr>
              <w:t>200</w:t>
            </w:r>
            <w:r w:rsidRPr="00566498">
              <w:rPr>
                <w:b/>
                <w:lang w:eastAsia="en-GB"/>
              </w:rPr>
              <w:t xml:space="preserve"> units</w:t>
            </w:r>
          </w:p>
        </w:tc>
        <w:tc>
          <w:tcPr>
            <w:tcW w:w="2075" w:type="dxa"/>
          </w:tcPr>
          <w:p w14:paraId="2CA87281" w14:textId="77777777" w:rsidR="009F6921" w:rsidRDefault="009F6921" w:rsidP="00C362D0">
            <w:pPr>
              <w:rPr>
                <w:lang w:eastAsia="en-GB"/>
              </w:rPr>
            </w:pPr>
          </w:p>
        </w:tc>
      </w:tr>
      <w:tr w:rsidR="009F6921" w14:paraId="7BA9979E" w14:textId="77777777" w:rsidTr="00B00FAB">
        <w:trPr>
          <w:cantSplit/>
          <w:tblHeader/>
        </w:trPr>
        <w:tc>
          <w:tcPr>
            <w:tcW w:w="1271" w:type="dxa"/>
          </w:tcPr>
          <w:p w14:paraId="59A11F41" w14:textId="0EB6C75E" w:rsidR="009F6921" w:rsidRPr="009F6921" w:rsidRDefault="009F6921" w:rsidP="00C362D0">
            <w:pPr>
              <w:rPr>
                <w:b/>
                <w:lang w:eastAsia="en-GB"/>
              </w:rPr>
            </w:pPr>
            <w:r w:rsidRPr="009F6921">
              <w:rPr>
                <w:b/>
                <w:lang w:eastAsia="en-GB"/>
              </w:rPr>
              <w:t>E6</w:t>
            </w:r>
          </w:p>
        </w:tc>
        <w:tc>
          <w:tcPr>
            <w:tcW w:w="5670" w:type="dxa"/>
          </w:tcPr>
          <w:p w14:paraId="1538F1FC" w14:textId="7022BB23" w:rsidR="009F6921" w:rsidRDefault="00566498" w:rsidP="00C362D0">
            <w:pPr>
              <w:rPr>
                <w:lang w:eastAsia="en-GB"/>
              </w:rPr>
            </w:pPr>
            <w:r>
              <w:rPr>
                <w:lang w:eastAsia="en-GB"/>
              </w:rPr>
              <w:t xml:space="preserve">Total housing supply – </w:t>
            </w:r>
            <w:r w:rsidR="00840B05">
              <w:rPr>
                <w:b/>
                <w:lang w:eastAsia="en-GB"/>
              </w:rPr>
              <w:t>2,4</w:t>
            </w:r>
            <w:r w:rsidRPr="00566498">
              <w:rPr>
                <w:b/>
                <w:lang w:eastAsia="en-GB"/>
              </w:rPr>
              <w:t>08 units</w:t>
            </w:r>
          </w:p>
        </w:tc>
        <w:tc>
          <w:tcPr>
            <w:tcW w:w="2075" w:type="dxa"/>
          </w:tcPr>
          <w:p w14:paraId="44A7FD34" w14:textId="734810A3" w:rsidR="009F6921" w:rsidRDefault="00566498" w:rsidP="00C362D0">
            <w:pPr>
              <w:rPr>
                <w:lang w:eastAsia="en-GB"/>
              </w:rPr>
            </w:pPr>
            <w:r>
              <w:rPr>
                <w:lang w:eastAsia="en-GB"/>
              </w:rPr>
              <w:t>(E2 + E3 + E4 + E5)</w:t>
            </w:r>
          </w:p>
        </w:tc>
      </w:tr>
    </w:tbl>
    <w:p w14:paraId="6C4DC9C7" w14:textId="150B0F28" w:rsidR="00C362D0" w:rsidRDefault="00C362D0" w:rsidP="00C362D0">
      <w:pPr>
        <w:rPr>
          <w:lang w:eastAsia="en-GB"/>
        </w:rPr>
      </w:pPr>
    </w:p>
    <w:p w14:paraId="6451393C" w14:textId="74926573" w:rsidR="009F6921" w:rsidRDefault="009F6921" w:rsidP="00C362D0">
      <w:pPr>
        <w:rPr>
          <w:b/>
          <w:lang w:eastAsia="en-GB"/>
        </w:rPr>
      </w:pPr>
      <w:r>
        <w:rPr>
          <w:b/>
          <w:lang w:eastAsia="en-GB"/>
        </w:rPr>
        <w:t>(F) Overall supply</w:t>
      </w:r>
    </w:p>
    <w:tbl>
      <w:tblPr>
        <w:tblStyle w:val="TableGrid"/>
        <w:tblW w:w="0" w:type="auto"/>
        <w:tblLook w:val="04A0" w:firstRow="1" w:lastRow="0" w:firstColumn="1" w:lastColumn="0" w:noHBand="0" w:noVBand="1"/>
        <w:tblCaption w:val="F - Overall supply"/>
        <w:tblDescription w:val="Describes the overall figure of housing supply"/>
      </w:tblPr>
      <w:tblGrid>
        <w:gridCol w:w="1271"/>
        <w:gridCol w:w="5670"/>
        <w:gridCol w:w="2075"/>
      </w:tblGrid>
      <w:tr w:rsidR="009F6921" w14:paraId="32EB6155" w14:textId="77777777" w:rsidTr="00B00FAB">
        <w:trPr>
          <w:cantSplit/>
          <w:tblHeader/>
        </w:trPr>
        <w:tc>
          <w:tcPr>
            <w:tcW w:w="1271" w:type="dxa"/>
          </w:tcPr>
          <w:p w14:paraId="0E59785F" w14:textId="120C0124" w:rsidR="009F6921" w:rsidRDefault="009F6921" w:rsidP="00C362D0">
            <w:pPr>
              <w:rPr>
                <w:b/>
                <w:lang w:eastAsia="en-GB"/>
              </w:rPr>
            </w:pPr>
            <w:r>
              <w:rPr>
                <w:b/>
                <w:lang w:eastAsia="en-GB"/>
              </w:rPr>
              <w:t>Stage</w:t>
            </w:r>
          </w:p>
        </w:tc>
        <w:tc>
          <w:tcPr>
            <w:tcW w:w="5670" w:type="dxa"/>
          </w:tcPr>
          <w:p w14:paraId="196B897D" w14:textId="776DE7CA" w:rsidR="009F6921" w:rsidRDefault="009F6921" w:rsidP="00C362D0">
            <w:pPr>
              <w:rPr>
                <w:b/>
                <w:lang w:eastAsia="en-GB"/>
              </w:rPr>
            </w:pPr>
            <w:r>
              <w:rPr>
                <w:b/>
                <w:lang w:eastAsia="en-GB"/>
              </w:rPr>
              <w:t>Task</w:t>
            </w:r>
          </w:p>
        </w:tc>
        <w:tc>
          <w:tcPr>
            <w:tcW w:w="2075" w:type="dxa"/>
          </w:tcPr>
          <w:p w14:paraId="4D8643FF" w14:textId="65EEAB14" w:rsidR="009F6921" w:rsidRDefault="009F6921" w:rsidP="00C362D0">
            <w:pPr>
              <w:rPr>
                <w:b/>
                <w:lang w:eastAsia="en-GB"/>
              </w:rPr>
            </w:pPr>
            <w:r>
              <w:rPr>
                <w:b/>
                <w:lang w:eastAsia="en-GB"/>
              </w:rPr>
              <w:t>Calculation</w:t>
            </w:r>
          </w:p>
        </w:tc>
      </w:tr>
      <w:tr w:rsidR="009F6921" w14:paraId="65E0E30A" w14:textId="77777777" w:rsidTr="00B00FAB">
        <w:trPr>
          <w:cantSplit/>
          <w:tblHeader/>
        </w:trPr>
        <w:tc>
          <w:tcPr>
            <w:tcW w:w="1271" w:type="dxa"/>
          </w:tcPr>
          <w:p w14:paraId="0B01CF9A" w14:textId="1C051179" w:rsidR="009F6921" w:rsidRDefault="009F6921" w:rsidP="00C362D0">
            <w:pPr>
              <w:rPr>
                <w:b/>
                <w:lang w:eastAsia="en-GB"/>
              </w:rPr>
            </w:pPr>
            <w:r>
              <w:rPr>
                <w:b/>
                <w:lang w:eastAsia="en-GB"/>
              </w:rPr>
              <w:t>F1</w:t>
            </w:r>
          </w:p>
        </w:tc>
        <w:tc>
          <w:tcPr>
            <w:tcW w:w="5670" w:type="dxa"/>
          </w:tcPr>
          <w:p w14:paraId="5F85F2A0" w14:textId="5B6C24E8" w:rsidR="009F6921" w:rsidRPr="00032216" w:rsidRDefault="00566498" w:rsidP="00C362D0">
            <w:pPr>
              <w:rPr>
                <w:lang w:eastAsia="en-GB"/>
              </w:rPr>
            </w:pPr>
            <w:r w:rsidRPr="00032216">
              <w:rPr>
                <w:lang w:eastAsia="en-GB"/>
              </w:rPr>
              <w:t xml:space="preserve">As expressed in years </w:t>
            </w:r>
            <w:r w:rsidR="00032216">
              <w:rPr>
                <w:lang w:eastAsia="en-GB"/>
              </w:rPr>
              <w:t>–</w:t>
            </w:r>
            <w:r w:rsidRPr="00032216">
              <w:rPr>
                <w:lang w:eastAsia="en-GB"/>
              </w:rPr>
              <w:t xml:space="preserve"> </w:t>
            </w:r>
            <w:r w:rsidR="00840B05">
              <w:rPr>
                <w:b/>
                <w:lang w:eastAsia="en-GB"/>
              </w:rPr>
              <w:t>5.2</w:t>
            </w:r>
            <w:r w:rsidR="00032216" w:rsidRPr="00032216">
              <w:rPr>
                <w:b/>
                <w:lang w:eastAsia="en-GB"/>
              </w:rPr>
              <w:t xml:space="preserve"> years</w:t>
            </w:r>
          </w:p>
        </w:tc>
        <w:tc>
          <w:tcPr>
            <w:tcW w:w="2075" w:type="dxa"/>
          </w:tcPr>
          <w:p w14:paraId="30B9E05B" w14:textId="73555589" w:rsidR="009F6921" w:rsidRPr="00032216" w:rsidRDefault="00566498" w:rsidP="00C362D0">
            <w:pPr>
              <w:rPr>
                <w:lang w:eastAsia="en-GB"/>
              </w:rPr>
            </w:pPr>
            <w:r w:rsidRPr="00032216">
              <w:rPr>
                <w:lang w:eastAsia="en-GB"/>
              </w:rPr>
              <w:t>(E</w:t>
            </w:r>
            <w:r w:rsidR="00032216">
              <w:rPr>
                <w:lang w:eastAsia="en-GB"/>
              </w:rPr>
              <w:t>6</w:t>
            </w:r>
            <w:r w:rsidRPr="00032216">
              <w:rPr>
                <w:lang w:eastAsia="en-GB"/>
              </w:rPr>
              <w:t xml:space="preserve"> / D4)</w:t>
            </w:r>
          </w:p>
        </w:tc>
      </w:tr>
    </w:tbl>
    <w:p w14:paraId="2F4AD168" w14:textId="097C1BB0" w:rsidR="009F6921" w:rsidRDefault="009F6921" w:rsidP="00C362D0">
      <w:pPr>
        <w:rPr>
          <w:b/>
          <w:lang w:eastAsia="en-GB"/>
        </w:rPr>
      </w:pPr>
    </w:p>
    <w:p w14:paraId="793EE269" w14:textId="20D313D4" w:rsidR="009F6921" w:rsidRPr="009F6921" w:rsidRDefault="009F6921" w:rsidP="00C362D0">
      <w:pPr>
        <w:rPr>
          <w:b/>
          <w:lang w:eastAsia="en-GB"/>
        </w:rPr>
      </w:pPr>
      <w:r>
        <w:rPr>
          <w:b/>
          <w:lang w:eastAsia="en-GB"/>
        </w:rPr>
        <w:t xml:space="preserve">(G) </w:t>
      </w:r>
      <w:r w:rsidR="00B00FAB">
        <w:rPr>
          <w:b/>
          <w:lang w:eastAsia="en-GB"/>
        </w:rPr>
        <w:t>Over or undersupply of deliverable housing land</w:t>
      </w:r>
    </w:p>
    <w:tbl>
      <w:tblPr>
        <w:tblStyle w:val="TableGrid"/>
        <w:tblW w:w="0" w:type="auto"/>
        <w:tblLook w:val="04A0" w:firstRow="1" w:lastRow="0" w:firstColumn="1" w:lastColumn="0" w:noHBand="0" w:noVBand="1"/>
        <w:tblCaption w:val="G - Over or undersupply of housing land"/>
        <w:tblDescription w:val="Describes whether the council has enough or not enough housing land"/>
      </w:tblPr>
      <w:tblGrid>
        <w:gridCol w:w="1271"/>
        <w:gridCol w:w="5670"/>
        <w:gridCol w:w="2075"/>
      </w:tblGrid>
      <w:tr w:rsidR="00B00FAB" w14:paraId="1784E1E0" w14:textId="77777777" w:rsidTr="00B00FAB">
        <w:trPr>
          <w:cantSplit/>
          <w:tblHeader/>
        </w:trPr>
        <w:tc>
          <w:tcPr>
            <w:tcW w:w="1271" w:type="dxa"/>
          </w:tcPr>
          <w:p w14:paraId="00CFCB28" w14:textId="08072356" w:rsidR="00B00FAB" w:rsidRPr="00B00FAB" w:rsidRDefault="00B00FAB" w:rsidP="00C362D0">
            <w:pPr>
              <w:rPr>
                <w:b/>
                <w:lang w:eastAsia="en-GB"/>
              </w:rPr>
            </w:pPr>
            <w:r w:rsidRPr="00B00FAB">
              <w:rPr>
                <w:b/>
                <w:lang w:eastAsia="en-GB"/>
              </w:rPr>
              <w:t>Stage</w:t>
            </w:r>
          </w:p>
        </w:tc>
        <w:tc>
          <w:tcPr>
            <w:tcW w:w="5670" w:type="dxa"/>
          </w:tcPr>
          <w:p w14:paraId="3EB16ADD" w14:textId="7CD08857" w:rsidR="00B00FAB" w:rsidRPr="00B00FAB" w:rsidRDefault="00B00FAB" w:rsidP="00C362D0">
            <w:pPr>
              <w:rPr>
                <w:b/>
                <w:lang w:eastAsia="en-GB"/>
              </w:rPr>
            </w:pPr>
            <w:r w:rsidRPr="00B00FAB">
              <w:rPr>
                <w:b/>
                <w:lang w:eastAsia="en-GB"/>
              </w:rPr>
              <w:t>Task</w:t>
            </w:r>
          </w:p>
        </w:tc>
        <w:tc>
          <w:tcPr>
            <w:tcW w:w="2075" w:type="dxa"/>
          </w:tcPr>
          <w:p w14:paraId="375D7601" w14:textId="4C73EF63" w:rsidR="00B00FAB" w:rsidRPr="00B00FAB" w:rsidRDefault="00B00FAB" w:rsidP="00C362D0">
            <w:pPr>
              <w:rPr>
                <w:b/>
                <w:lang w:eastAsia="en-GB"/>
              </w:rPr>
            </w:pPr>
            <w:r w:rsidRPr="00B00FAB">
              <w:rPr>
                <w:b/>
                <w:lang w:eastAsia="en-GB"/>
              </w:rPr>
              <w:t>Calculation</w:t>
            </w:r>
          </w:p>
        </w:tc>
      </w:tr>
      <w:tr w:rsidR="00B00FAB" w14:paraId="4E7DDC3B" w14:textId="77777777" w:rsidTr="00B00FAB">
        <w:trPr>
          <w:cantSplit/>
          <w:tblHeader/>
        </w:trPr>
        <w:tc>
          <w:tcPr>
            <w:tcW w:w="1271" w:type="dxa"/>
          </w:tcPr>
          <w:p w14:paraId="5FDA1C39" w14:textId="004EE345" w:rsidR="00B00FAB" w:rsidRPr="00B00FAB" w:rsidRDefault="00B00FAB" w:rsidP="00C362D0">
            <w:pPr>
              <w:rPr>
                <w:b/>
                <w:lang w:eastAsia="en-GB"/>
              </w:rPr>
            </w:pPr>
            <w:r w:rsidRPr="00B00FAB">
              <w:rPr>
                <w:b/>
                <w:lang w:eastAsia="en-GB"/>
              </w:rPr>
              <w:t>G1</w:t>
            </w:r>
          </w:p>
        </w:tc>
        <w:tc>
          <w:tcPr>
            <w:tcW w:w="5670" w:type="dxa"/>
          </w:tcPr>
          <w:p w14:paraId="4D79AC58" w14:textId="59BA4928" w:rsidR="00B00FAB" w:rsidRDefault="00032216" w:rsidP="00C362D0">
            <w:pPr>
              <w:rPr>
                <w:lang w:eastAsia="en-GB"/>
              </w:rPr>
            </w:pPr>
            <w:r>
              <w:rPr>
                <w:lang w:eastAsia="en-GB"/>
              </w:rPr>
              <w:t xml:space="preserve">Oversupply of </w:t>
            </w:r>
            <w:r w:rsidRPr="00032216">
              <w:rPr>
                <w:b/>
                <w:lang w:eastAsia="en-GB"/>
              </w:rPr>
              <w:t>92 units</w:t>
            </w:r>
          </w:p>
        </w:tc>
        <w:tc>
          <w:tcPr>
            <w:tcW w:w="2075" w:type="dxa"/>
          </w:tcPr>
          <w:p w14:paraId="4FD58C8D" w14:textId="0EA5AC5E" w:rsidR="00B00FAB" w:rsidRDefault="00032216" w:rsidP="00C362D0">
            <w:pPr>
              <w:rPr>
                <w:lang w:eastAsia="en-GB"/>
              </w:rPr>
            </w:pPr>
            <w:r>
              <w:rPr>
                <w:lang w:eastAsia="en-GB"/>
              </w:rPr>
              <w:t>(D3 – E6)</w:t>
            </w:r>
          </w:p>
        </w:tc>
      </w:tr>
    </w:tbl>
    <w:p w14:paraId="2440BCB2" w14:textId="1BADEC81" w:rsidR="00C362D0" w:rsidRPr="002E66FE" w:rsidRDefault="00C362D0" w:rsidP="00032216"/>
    <w:sectPr w:rsidR="00C362D0" w:rsidRPr="002E6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F1546"/>
    <w:multiLevelType w:val="hybridMultilevel"/>
    <w:tmpl w:val="0A62C4EC"/>
    <w:lvl w:ilvl="0" w:tplc="3C2240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273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18"/>
    <w:rsid w:val="0000381F"/>
    <w:rsid w:val="00011EA8"/>
    <w:rsid w:val="00032216"/>
    <w:rsid w:val="00180370"/>
    <w:rsid w:val="001D362D"/>
    <w:rsid w:val="001E147F"/>
    <w:rsid w:val="00252E76"/>
    <w:rsid w:val="002E66FE"/>
    <w:rsid w:val="0032266B"/>
    <w:rsid w:val="00322B26"/>
    <w:rsid w:val="00364F70"/>
    <w:rsid w:val="00375A17"/>
    <w:rsid w:val="003A5E97"/>
    <w:rsid w:val="004023C7"/>
    <w:rsid w:val="00462ACE"/>
    <w:rsid w:val="004C2CF3"/>
    <w:rsid w:val="005035FB"/>
    <w:rsid w:val="005439CF"/>
    <w:rsid w:val="00566498"/>
    <w:rsid w:val="005F2286"/>
    <w:rsid w:val="00611F8A"/>
    <w:rsid w:val="00691603"/>
    <w:rsid w:val="006970ED"/>
    <w:rsid w:val="006B1B98"/>
    <w:rsid w:val="007839E0"/>
    <w:rsid w:val="007B5074"/>
    <w:rsid w:val="007E5030"/>
    <w:rsid w:val="007E5FF1"/>
    <w:rsid w:val="007F01B5"/>
    <w:rsid w:val="00840B05"/>
    <w:rsid w:val="0094084B"/>
    <w:rsid w:val="009A4460"/>
    <w:rsid w:val="009C0318"/>
    <w:rsid w:val="009F6921"/>
    <w:rsid w:val="00A9161D"/>
    <w:rsid w:val="00A94B9C"/>
    <w:rsid w:val="00B00FAB"/>
    <w:rsid w:val="00B72D52"/>
    <w:rsid w:val="00B77C87"/>
    <w:rsid w:val="00BB3C39"/>
    <w:rsid w:val="00C004D3"/>
    <w:rsid w:val="00C362D0"/>
    <w:rsid w:val="00C65A71"/>
    <w:rsid w:val="00CB68BA"/>
    <w:rsid w:val="00CF415C"/>
    <w:rsid w:val="00D35280"/>
    <w:rsid w:val="00D41BA5"/>
    <w:rsid w:val="00D504DA"/>
    <w:rsid w:val="00D82DCC"/>
    <w:rsid w:val="00D95183"/>
    <w:rsid w:val="00DF78AD"/>
    <w:rsid w:val="00E4335A"/>
    <w:rsid w:val="00EC010B"/>
    <w:rsid w:val="00ED3A1E"/>
    <w:rsid w:val="00F17032"/>
    <w:rsid w:val="00F81F74"/>
    <w:rsid w:val="00FB19A3"/>
    <w:rsid w:val="00FC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3DE1"/>
  <w15:chartTrackingRefBased/>
  <w15:docId w15:val="{33C90FCE-EA30-41D0-85D4-25BFB186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318"/>
    <w:pPr>
      <w:spacing w:after="0"/>
    </w:pPr>
    <w:rPr>
      <w:rFonts w:ascii="Arial" w:hAnsi="Arial"/>
    </w:rPr>
  </w:style>
  <w:style w:type="paragraph" w:styleId="Heading1">
    <w:name w:val="heading 1"/>
    <w:basedOn w:val="Normal"/>
    <w:next w:val="Normal"/>
    <w:link w:val="Heading1Char"/>
    <w:uiPriority w:val="9"/>
    <w:qFormat/>
    <w:rsid w:val="009C0318"/>
    <w:pPr>
      <w:keepNext/>
      <w:keepLines/>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C362D0"/>
    <w:pPr>
      <w:keepNext/>
      <w:keepLines/>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0318"/>
    <w:pPr>
      <w:spacing w:line="240" w:lineRule="auto"/>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9C0318"/>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9C0318"/>
    <w:rPr>
      <w:rFonts w:ascii="Arial" w:eastAsiaTheme="majorEastAsia" w:hAnsi="Arial" w:cstheme="majorBidi"/>
      <w:b/>
      <w:color w:val="000000" w:themeColor="text1"/>
      <w:sz w:val="24"/>
      <w:szCs w:val="32"/>
    </w:rPr>
  </w:style>
  <w:style w:type="table" w:styleId="TableGrid">
    <w:name w:val="Table Grid"/>
    <w:basedOn w:val="TableNormal"/>
    <w:uiPriority w:val="39"/>
    <w:rsid w:val="0025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8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8AD"/>
    <w:rPr>
      <w:rFonts w:ascii="Segoe UI" w:hAnsi="Segoe UI" w:cs="Segoe UI"/>
      <w:sz w:val="18"/>
      <w:szCs w:val="18"/>
    </w:rPr>
  </w:style>
  <w:style w:type="character" w:customStyle="1" w:styleId="Heading2Char">
    <w:name w:val="Heading 2 Char"/>
    <w:basedOn w:val="DefaultParagraphFont"/>
    <w:link w:val="Heading2"/>
    <w:uiPriority w:val="9"/>
    <w:rsid w:val="00C362D0"/>
    <w:rPr>
      <w:rFonts w:ascii="Arial" w:eastAsiaTheme="majorEastAsia" w:hAnsi="Arial" w:cstheme="majorBidi"/>
      <w:color w:val="000000" w:themeColor="text1"/>
      <w:szCs w:val="26"/>
    </w:rPr>
  </w:style>
  <w:style w:type="paragraph" w:styleId="ListParagraph">
    <w:name w:val="List Paragraph"/>
    <w:basedOn w:val="Normal"/>
    <w:uiPriority w:val="34"/>
    <w:qFormat/>
    <w:rsid w:val="00C36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249377">
      <w:bodyDiv w:val="1"/>
      <w:marLeft w:val="0"/>
      <w:marRight w:val="0"/>
      <w:marTop w:val="0"/>
      <w:marBottom w:val="0"/>
      <w:divBdr>
        <w:top w:val="none" w:sz="0" w:space="0" w:color="auto"/>
        <w:left w:val="none" w:sz="0" w:space="0" w:color="auto"/>
        <w:bottom w:val="none" w:sz="0" w:space="0" w:color="auto"/>
        <w:right w:val="none" w:sz="0" w:space="0" w:color="auto"/>
      </w:divBdr>
    </w:div>
    <w:div w:id="12367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27B8-99B6-4A7F-ABCC-695F910C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Erewash Borough Council</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Reddish</dc:creator>
  <cp:keywords/>
  <dc:description/>
  <cp:lastModifiedBy>Josie Hobbs</cp:lastModifiedBy>
  <cp:revision>2</cp:revision>
  <cp:lastPrinted>2022-08-23T14:48:00Z</cp:lastPrinted>
  <dcterms:created xsi:type="dcterms:W3CDTF">2023-07-04T16:12:00Z</dcterms:created>
  <dcterms:modified xsi:type="dcterms:W3CDTF">2023-07-04T16:12:00Z</dcterms:modified>
</cp:coreProperties>
</file>