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6354" w14:textId="77777777" w:rsidR="00A95EFB" w:rsidRPr="005F560B" w:rsidRDefault="00A95EFB" w:rsidP="00A95EFB">
      <w:pPr>
        <w:rPr>
          <w:rFonts w:ascii="Gill Sans MT" w:hAnsi="Gill Sans MT"/>
          <w:u w:val="single"/>
          <w:lang w:val="en-US"/>
        </w:rPr>
      </w:pPr>
      <w:r w:rsidRPr="005F560B">
        <w:rPr>
          <w:rFonts w:ascii="Gill Sans MT" w:hAnsi="Gill Sans MT"/>
          <w:u w:val="single"/>
          <w:lang w:val="en-US"/>
        </w:rPr>
        <w:t>IN THE MATTER OF:</w:t>
      </w:r>
      <w:r w:rsidRPr="005F560B">
        <w:rPr>
          <w:rFonts w:ascii="Gill Sans MT" w:hAnsi="Gill Sans MT"/>
          <w:u w:val="single"/>
          <w:lang w:val="en-US"/>
        </w:rPr>
        <w:br/>
      </w:r>
      <w:r w:rsidRPr="005F560B">
        <w:rPr>
          <w:rFonts w:ascii="Gill Sans MT" w:hAnsi="Gill Sans MT"/>
          <w:u w:val="single"/>
          <w:lang w:val="en-US"/>
        </w:rPr>
        <w:br/>
      </w:r>
    </w:p>
    <w:p w14:paraId="54C56014" w14:textId="0DAC0222" w:rsidR="00A95EFB" w:rsidRPr="005F560B" w:rsidRDefault="007B429E" w:rsidP="00C57615">
      <w:pPr>
        <w:jc w:val="center"/>
        <w:rPr>
          <w:rFonts w:ascii="Gill Sans MT" w:hAnsi="Gill Sans MT"/>
          <w:b/>
          <w:bCs/>
          <w:lang w:val="en-US"/>
        </w:rPr>
      </w:pPr>
      <w:r>
        <w:rPr>
          <w:rFonts w:ascii="Gill Sans MT" w:hAnsi="Gill Sans MT"/>
          <w:b/>
          <w:bCs/>
          <w:lang w:val="en-US"/>
        </w:rPr>
        <w:t xml:space="preserve">SECTION 78 OF </w:t>
      </w:r>
      <w:r w:rsidR="00A95EFB" w:rsidRPr="005F560B">
        <w:rPr>
          <w:rFonts w:ascii="Gill Sans MT" w:hAnsi="Gill Sans MT"/>
          <w:b/>
          <w:bCs/>
          <w:lang w:val="en-US"/>
        </w:rPr>
        <w:t>THE TOWN AND COUNTRY PLANNING ACT 1990</w:t>
      </w:r>
    </w:p>
    <w:p w14:paraId="32B41680" w14:textId="1ADA86E1" w:rsidR="00A95EFB" w:rsidRPr="005F560B" w:rsidRDefault="00A95EFB" w:rsidP="00C57615">
      <w:pPr>
        <w:jc w:val="center"/>
        <w:rPr>
          <w:rFonts w:ascii="Gill Sans MT" w:hAnsi="Gill Sans MT"/>
          <w:b/>
          <w:bCs/>
          <w:lang w:val="en-US"/>
        </w:rPr>
      </w:pPr>
      <w:r w:rsidRPr="005F560B">
        <w:rPr>
          <w:rFonts w:ascii="Gill Sans MT" w:hAnsi="Gill Sans MT"/>
          <w:b/>
          <w:bCs/>
          <w:lang w:val="en-US"/>
        </w:rPr>
        <w:t>and</w:t>
      </w:r>
    </w:p>
    <w:p w14:paraId="046FC4B4" w14:textId="4C7525E0" w:rsidR="00A95EFB" w:rsidRPr="005F560B" w:rsidRDefault="00A95EFB" w:rsidP="00C57615">
      <w:pPr>
        <w:jc w:val="center"/>
        <w:rPr>
          <w:rFonts w:ascii="Gill Sans MT" w:hAnsi="Gill Sans MT"/>
          <w:lang w:val="en-US"/>
        </w:rPr>
      </w:pPr>
      <w:r w:rsidRPr="005F560B">
        <w:rPr>
          <w:rFonts w:ascii="Gill Sans MT" w:hAnsi="Gill Sans MT"/>
          <w:b/>
          <w:bCs/>
          <w:lang w:val="en-US"/>
        </w:rPr>
        <w:t>AN APPEAL BY</w:t>
      </w:r>
      <w:r w:rsidR="00FD1603">
        <w:rPr>
          <w:rFonts w:ascii="Gill Sans MT" w:hAnsi="Gill Sans MT"/>
          <w:b/>
          <w:bCs/>
          <w:lang w:val="en-US"/>
        </w:rPr>
        <w:t xml:space="preserve"> </w:t>
      </w:r>
      <w:r w:rsidR="00B24A93">
        <w:rPr>
          <w:rFonts w:ascii="Gill Sans MT" w:hAnsi="Gill Sans MT"/>
          <w:b/>
          <w:bCs/>
          <w:lang w:val="en-US"/>
        </w:rPr>
        <w:t xml:space="preserve">WULFF ASSET MANAGEMENT LTD </w:t>
      </w:r>
      <w:r w:rsidR="00F462EA">
        <w:rPr>
          <w:rFonts w:ascii="Gill Sans MT" w:hAnsi="Gill Sans MT"/>
          <w:b/>
          <w:bCs/>
          <w:lang w:val="en-US"/>
        </w:rPr>
        <w:t xml:space="preserve">AGAINT THE REFUSAL BY </w:t>
      </w:r>
      <w:r w:rsidR="00B24A93">
        <w:rPr>
          <w:rFonts w:ascii="Gill Sans MT" w:hAnsi="Gill Sans MT"/>
          <w:b/>
          <w:bCs/>
          <w:lang w:val="en-US"/>
        </w:rPr>
        <w:t>EREWASH BOROUGH COUNCIL OF OUTLINE PLANNING PERMISSION FOR UP TO 196 DWELLINGS (ALL MATTERS RESERVED SAVE FOR ACCESS) AT LAND NORTH WEST OF 1-12 TWELVE HOUSES, SOWBROOK LANE, STANTON BY DALE, DERBYSHIRE DE7 4QX</w:t>
      </w:r>
    </w:p>
    <w:p w14:paraId="6741CF1E" w14:textId="238F8A1B" w:rsidR="009B4B4D" w:rsidRPr="009B4B4D" w:rsidRDefault="009B4B4D" w:rsidP="009B4B4D">
      <w:pPr>
        <w:pStyle w:val="NormalWeb"/>
        <w:rPr>
          <w:rFonts w:ascii="Gill Sans MT" w:hAnsi="Gill Sans MT"/>
        </w:rPr>
      </w:pPr>
      <w:r w:rsidRPr="009B4B4D">
        <w:rPr>
          <w:rFonts w:ascii="Gill Sans MT" w:hAnsi="Gill Sans MT"/>
        </w:rPr>
        <w:t>PINS Ref: APP/</w:t>
      </w:r>
      <w:r w:rsidR="00B24A93">
        <w:rPr>
          <w:rFonts w:ascii="Gill Sans MT" w:hAnsi="Gill Sans MT"/>
        </w:rPr>
        <w:t>N1025/W/23/3319160</w:t>
      </w:r>
    </w:p>
    <w:p w14:paraId="74627365" w14:textId="453AEECC" w:rsidR="002B6134" w:rsidRPr="004E4BA8" w:rsidRDefault="009B4B4D" w:rsidP="004E4BA8">
      <w:pPr>
        <w:pStyle w:val="NormalWeb"/>
        <w:rPr>
          <w:rFonts w:ascii="Gill Sans MT" w:hAnsi="Gill Sans MT"/>
        </w:rPr>
      </w:pPr>
      <w:r w:rsidRPr="009B4B4D">
        <w:rPr>
          <w:rFonts w:ascii="Gill Sans MT" w:hAnsi="Gill Sans MT"/>
        </w:rPr>
        <w:t>LPA Ref</w:t>
      </w:r>
      <w:r w:rsidR="00F462EA">
        <w:rPr>
          <w:rFonts w:ascii="Gill Sans MT" w:hAnsi="Gill Sans MT"/>
        </w:rPr>
        <w:t>:</w:t>
      </w:r>
      <w:r w:rsidR="00B24A93">
        <w:rPr>
          <w:rFonts w:ascii="Gill Sans MT" w:hAnsi="Gill Sans MT"/>
        </w:rPr>
        <w:t xml:space="preserve"> ERE/0722/0038</w:t>
      </w:r>
      <w:r w:rsidR="00EA68CD">
        <w:rPr>
          <w:rFonts w:ascii="Gill Sans MT" w:hAnsi="Gill Sans MT"/>
          <w:lang w:val="en-US"/>
        </w:rPr>
        <w:br/>
      </w:r>
    </w:p>
    <w:p w14:paraId="2ED9DAE6" w14:textId="77777777" w:rsidR="00A95EFB" w:rsidRPr="005F560B" w:rsidRDefault="00A95EFB" w:rsidP="00A95EFB">
      <w:pPr>
        <w:jc w:val="center"/>
        <w:rPr>
          <w:rFonts w:ascii="Gill Sans MT" w:hAnsi="Gill Sans MT"/>
          <w:lang w:val="en-US"/>
        </w:rPr>
      </w:pPr>
      <w:r w:rsidRPr="005F560B">
        <w:rPr>
          <w:rFonts w:ascii="Gill Sans MT" w:hAnsi="Gill Sans MT"/>
          <w:lang w:val="en-US"/>
        </w:rPr>
        <w:t>___________________________________________________________</w:t>
      </w:r>
    </w:p>
    <w:p w14:paraId="76AF81AB" w14:textId="77777777" w:rsidR="00A95EFB" w:rsidRPr="005F560B" w:rsidRDefault="00A95EFB" w:rsidP="00A95EFB">
      <w:pPr>
        <w:jc w:val="center"/>
        <w:rPr>
          <w:rFonts w:ascii="Gill Sans MT" w:hAnsi="Gill Sans MT"/>
          <w:lang w:val="en-US"/>
        </w:rPr>
      </w:pPr>
    </w:p>
    <w:p w14:paraId="460E6E56" w14:textId="66CF096F" w:rsidR="00A95EFB" w:rsidRDefault="00C55176" w:rsidP="00A95EFB">
      <w:pPr>
        <w:jc w:val="center"/>
        <w:rPr>
          <w:rFonts w:ascii="Gill Sans MT" w:hAnsi="Gill Sans MT"/>
          <w:lang w:val="en-US"/>
        </w:rPr>
      </w:pPr>
      <w:r>
        <w:rPr>
          <w:rFonts w:ascii="Gill Sans MT" w:hAnsi="Gill Sans MT"/>
          <w:b/>
          <w:bCs/>
          <w:lang w:val="en-US"/>
        </w:rPr>
        <w:t>CLOSING</w:t>
      </w:r>
      <w:r w:rsidR="00A95EFB">
        <w:rPr>
          <w:rFonts w:ascii="Gill Sans MT" w:hAnsi="Gill Sans MT"/>
          <w:b/>
          <w:bCs/>
          <w:lang w:val="en-US"/>
        </w:rPr>
        <w:t xml:space="preserve"> SUBMISSIONS </w:t>
      </w:r>
      <w:r w:rsidR="00A95EFB" w:rsidRPr="005F560B">
        <w:rPr>
          <w:rFonts w:ascii="Gill Sans MT" w:hAnsi="Gill Sans MT"/>
          <w:b/>
          <w:bCs/>
          <w:lang w:val="en-US"/>
        </w:rPr>
        <w:t xml:space="preserve">ON BEHALF OF THE </w:t>
      </w:r>
      <w:r w:rsidR="00B24A93">
        <w:rPr>
          <w:rFonts w:ascii="Gill Sans MT" w:hAnsi="Gill Sans MT"/>
          <w:b/>
          <w:bCs/>
          <w:lang w:val="en-US"/>
        </w:rPr>
        <w:t xml:space="preserve">LOCAL PLANNING AUTHORITY </w:t>
      </w:r>
      <w:r w:rsidR="00A95EFB" w:rsidRPr="005F560B">
        <w:rPr>
          <w:rFonts w:ascii="Gill Sans MT" w:hAnsi="Gill Sans MT"/>
          <w:lang w:val="en-US"/>
        </w:rPr>
        <w:br/>
        <w:t>___________________________</w:t>
      </w:r>
      <w:r w:rsidR="00A95EFB">
        <w:rPr>
          <w:rFonts w:ascii="Gill Sans MT" w:hAnsi="Gill Sans MT"/>
          <w:lang w:val="en-US"/>
        </w:rPr>
        <w:t>_______________________________</w:t>
      </w:r>
      <w:r w:rsidR="00EA68CD">
        <w:rPr>
          <w:rFonts w:ascii="Gill Sans MT" w:hAnsi="Gill Sans MT"/>
          <w:lang w:val="en-US"/>
        </w:rPr>
        <w:t>_</w:t>
      </w:r>
    </w:p>
    <w:p w14:paraId="181912DE" w14:textId="7FF1D5CF" w:rsidR="00A95EFB" w:rsidRPr="005D0469" w:rsidRDefault="00EA68CD" w:rsidP="00A95EFB">
      <w:pPr>
        <w:rPr>
          <w:rFonts w:ascii="Gill Sans MT" w:hAnsi="Gill Sans MT"/>
          <w:lang w:val="en-US"/>
        </w:rPr>
      </w:pPr>
      <w:r>
        <w:rPr>
          <w:rFonts w:ascii="Gill Sans MT" w:hAnsi="Gill Sans MT"/>
          <w:lang w:val="en-US"/>
        </w:rPr>
        <w:br/>
      </w:r>
      <w:r>
        <w:rPr>
          <w:rFonts w:ascii="Gill Sans MT" w:hAnsi="Gill Sans MT"/>
          <w:lang w:val="en-US"/>
        </w:rPr>
        <w:br/>
      </w:r>
    </w:p>
    <w:p w14:paraId="6E4A257D" w14:textId="77777777" w:rsidR="00C55176" w:rsidRPr="00C55176" w:rsidRDefault="00C55176" w:rsidP="00B24A93">
      <w:pPr>
        <w:pStyle w:val="ListParagraph"/>
        <w:numPr>
          <w:ilvl w:val="0"/>
          <w:numId w:val="1"/>
        </w:numPr>
        <w:spacing w:line="360" w:lineRule="auto"/>
        <w:rPr>
          <w:rFonts w:ascii="Gill Sans MT" w:hAnsi="Gill Sans MT"/>
        </w:rPr>
      </w:pPr>
      <w:r>
        <w:rPr>
          <w:rFonts w:ascii="Gill Sans MT" w:hAnsi="Gill Sans MT"/>
          <w:lang w:val="en-US"/>
        </w:rPr>
        <w:t xml:space="preserve">The starting point, as always, is to ask whether the proposal accords with the Development Plan (‘DP’). </w:t>
      </w:r>
      <w:r>
        <w:rPr>
          <w:rFonts w:ascii="Gill Sans MT" w:hAnsi="Gill Sans MT"/>
          <w:lang w:val="en-US"/>
        </w:rPr>
        <w:br/>
      </w:r>
    </w:p>
    <w:p w14:paraId="2701A917" w14:textId="77777777" w:rsidR="00C55176" w:rsidRPr="00C55176" w:rsidRDefault="00C55176" w:rsidP="00B24A93">
      <w:pPr>
        <w:pStyle w:val="ListParagraph"/>
        <w:numPr>
          <w:ilvl w:val="0"/>
          <w:numId w:val="1"/>
        </w:numPr>
        <w:spacing w:line="360" w:lineRule="auto"/>
        <w:rPr>
          <w:rFonts w:ascii="Gill Sans MT" w:hAnsi="Gill Sans MT"/>
        </w:rPr>
      </w:pPr>
      <w:r>
        <w:rPr>
          <w:rFonts w:ascii="Gill Sans MT" w:hAnsi="Gill Sans MT"/>
          <w:lang w:val="en-US"/>
        </w:rPr>
        <w:t xml:space="preserve">If it accords with the DP, it should be granted permission. It is no part of the LPA’s case that permission should be refused based on material considerations, including the policies set out in NPPF paragraphs 48 and 49, if the inspector is satisfied that the proposal accords with the DP (Reddish XX).  </w:t>
      </w:r>
      <w:r>
        <w:rPr>
          <w:rFonts w:ascii="Gill Sans MT" w:hAnsi="Gill Sans MT"/>
          <w:lang w:val="en-US"/>
        </w:rPr>
        <w:br/>
      </w:r>
    </w:p>
    <w:p w14:paraId="3CB0A156" w14:textId="1C167FFB" w:rsidR="00C55176" w:rsidRDefault="00C55176" w:rsidP="00B24A93">
      <w:pPr>
        <w:pStyle w:val="ListParagraph"/>
        <w:numPr>
          <w:ilvl w:val="0"/>
          <w:numId w:val="1"/>
        </w:numPr>
        <w:spacing w:line="360" w:lineRule="auto"/>
        <w:rPr>
          <w:rFonts w:ascii="Gill Sans MT" w:hAnsi="Gill Sans MT"/>
        </w:rPr>
      </w:pPr>
      <w:r>
        <w:rPr>
          <w:rFonts w:ascii="Gill Sans MT" w:hAnsi="Gill Sans MT"/>
          <w:lang w:val="en-US"/>
        </w:rPr>
        <w:t xml:space="preserve">If the proposal does not accord with the DP, it is agreed that material considerations require the merits of the proposal </w:t>
      </w:r>
      <w:r w:rsidR="002B6134">
        <w:rPr>
          <w:rFonts w:ascii="Gill Sans MT" w:hAnsi="Gill Sans MT"/>
          <w:lang w:val="en-US"/>
        </w:rPr>
        <w:t xml:space="preserve">to be assessed by reference to the tilted balance set out </w:t>
      </w:r>
      <w:r w:rsidR="00005D32">
        <w:rPr>
          <w:rFonts w:ascii="Gill Sans MT" w:hAnsi="Gill Sans MT"/>
          <w:lang w:val="en-US"/>
        </w:rPr>
        <w:t>at</w:t>
      </w:r>
      <w:r w:rsidR="002B6134">
        <w:rPr>
          <w:rFonts w:ascii="Gill Sans MT" w:hAnsi="Gill Sans MT"/>
          <w:lang w:val="en-US"/>
        </w:rPr>
        <w:t xml:space="preserve"> NPPF11(d)(ii). </w:t>
      </w:r>
      <w:r>
        <w:rPr>
          <w:rFonts w:ascii="Gill Sans MT" w:hAnsi="Gill Sans MT"/>
          <w:lang w:val="en-US"/>
        </w:rPr>
        <w:br/>
      </w:r>
      <w:r>
        <w:rPr>
          <w:rFonts w:ascii="Gill Sans MT" w:hAnsi="Gill Sans MT"/>
        </w:rPr>
        <w:br/>
      </w:r>
      <w:r w:rsidRPr="00C55176">
        <w:rPr>
          <w:rFonts w:ascii="Gill Sans MT" w:hAnsi="Gill Sans MT"/>
          <w:u w:val="single"/>
        </w:rPr>
        <w:t>Assessment Against the DP</w:t>
      </w:r>
      <w:r w:rsidR="002B6134">
        <w:rPr>
          <w:rFonts w:ascii="Gill Sans MT" w:hAnsi="Gill Sans MT"/>
        </w:rPr>
        <w:t xml:space="preserve"> </w:t>
      </w:r>
      <w:r w:rsidR="002B6134">
        <w:rPr>
          <w:rFonts w:ascii="Gill Sans MT" w:hAnsi="Gill Sans MT"/>
        </w:rPr>
        <w:br/>
      </w:r>
    </w:p>
    <w:p w14:paraId="22B74E44" w14:textId="1B8E59F9" w:rsidR="00587602" w:rsidRPr="000D231C" w:rsidRDefault="005F1157" w:rsidP="000D231C">
      <w:pPr>
        <w:pStyle w:val="ListParagraph"/>
        <w:numPr>
          <w:ilvl w:val="0"/>
          <w:numId w:val="1"/>
        </w:numPr>
        <w:spacing w:line="360" w:lineRule="auto"/>
        <w:rPr>
          <w:rFonts w:ascii="Gill Sans MT" w:hAnsi="Gill Sans MT"/>
        </w:rPr>
      </w:pPr>
      <w:r w:rsidRPr="000D231C">
        <w:rPr>
          <w:rFonts w:ascii="Gill Sans MT" w:hAnsi="Gill Sans MT"/>
        </w:rPr>
        <w:t xml:space="preserve">As I put to Mr Hughes in XX, it is difficult if not impossible to justify a self-enclosed enclave of housing, devoid of any supporting services and facilities, </w:t>
      </w:r>
      <w:r w:rsidRPr="000D231C">
        <w:rPr>
          <w:rFonts w:ascii="Gill Sans MT" w:hAnsi="Gill Sans MT"/>
        </w:rPr>
        <w:lastRenderedPageBreak/>
        <w:t>simply free-floating</w:t>
      </w:r>
      <w:r w:rsidR="00587602" w:rsidRPr="000D231C">
        <w:rPr>
          <w:rFonts w:ascii="Gill Sans MT" w:hAnsi="Gill Sans MT"/>
        </w:rPr>
        <w:t xml:space="preserve"> in the countryside, unconnected to any settlement. If such an approach was an acceptable way to meet the country’s undoubtedly pressing housing needs, those needs would not have become pressing in the first place. As a country, we could have simply allowed agricultural fields</w:t>
      </w:r>
      <w:r w:rsidR="00005D32">
        <w:rPr>
          <w:rFonts w:ascii="Gill Sans MT" w:hAnsi="Gill Sans MT"/>
        </w:rPr>
        <w:t xml:space="preserve">, unconnected to any settlement, </w:t>
      </w:r>
      <w:r w:rsidR="00587602" w:rsidRPr="000D231C">
        <w:rPr>
          <w:rFonts w:ascii="Gill Sans MT" w:hAnsi="Gill Sans MT"/>
        </w:rPr>
        <w:t>to be developed for housing.</w:t>
      </w:r>
      <w:r w:rsidR="00587602" w:rsidRPr="000D231C">
        <w:rPr>
          <w:rFonts w:ascii="Gill Sans MT" w:hAnsi="Gill Sans MT"/>
        </w:rPr>
        <w:br/>
      </w:r>
    </w:p>
    <w:p w14:paraId="71DDD6C0" w14:textId="51FFA3E8" w:rsidR="00100CAD" w:rsidRDefault="00587602" w:rsidP="00B24A93">
      <w:pPr>
        <w:pStyle w:val="ListParagraph"/>
        <w:numPr>
          <w:ilvl w:val="0"/>
          <w:numId w:val="1"/>
        </w:numPr>
        <w:spacing w:line="360" w:lineRule="auto"/>
        <w:rPr>
          <w:rFonts w:ascii="Gill Sans MT" w:hAnsi="Gill Sans MT"/>
        </w:rPr>
      </w:pPr>
      <w:r>
        <w:rPr>
          <w:rFonts w:ascii="Gill Sans MT" w:hAnsi="Gill Sans MT"/>
        </w:rPr>
        <w:t xml:space="preserve">If </w:t>
      </w:r>
      <w:r w:rsidR="00005D32">
        <w:rPr>
          <w:rFonts w:ascii="Gill Sans MT" w:hAnsi="Gill Sans MT"/>
        </w:rPr>
        <w:t xml:space="preserve">Sir you </w:t>
      </w:r>
      <w:r>
        <w:rPr>
          <w:rFonts w:ascii="Gill Sans MT" w:hAnsi="Gill Sans MT"/>
        </w:rPr>
        <w:t>accept the proposition that we should not allow substantial housing estates to simply spring up in the countryside, with no supporting services and facilities, and which are not physically connected to an existing town or village, the central question for this Inquiry becomes this:</w:t>
      </w:r>
      <w:r w:rsidR="00100CAD">
        <w:rPr>
          <w:rFonts w:ascii="Gill Sans MT" w:hAnsi="Gill Sans MT"/>
        </w:rPr>
        <w:t xml:space="preserve"> does this proposal fit that description of unacceptable development?</w:t>
      </w:r>
      <w:r w:rsidR="00100CAD">
        <w:rPr>
          <w:rFonts w:ascii="Gill Sans MT" w:hAnsi="Gill Sans MT"/>
        </w:rPr>
        <w:br/>
      </w:r>
    </w:p>
    <w:p w14:paraId="59FE5DAF" w14:textId="5A113095" w:rsidR="00A50235" w:rsidRDefault="000D231C" w:rsidP="00B24A93">
      <w:pPr>
        <w:pStyle w:val="ListParagraph"/>
        <w:numPr>
          <w:ilvl w:val="0"/>
          <w:numId w:val="1"/>
        </w:numPr>
        <w:spacing w:line="360" w:lineRule="auto"/>
        <w:rPr>
          <w:rFonts w:ascii="Gill Sans MT" w:hAnsi="Gill Sans MT"/>
        </w:rPr>
      </w:pPr>
      <w:r>
        <w:rPr>
          <w:rFonts w:ascii="Gill Sans MT" w:hAnsi="Gill Sans MT"/>
        </w:rPr>
        <w:t>In our submission, this proposal</w:t>
      </w:r>
      <w:r w:rsidR="00A50235">
        <w:rPr>
          <w:rFonts w:ascii="Gill Sans MT" w:hAnsi="Gill Sans MT"/>
        </w:rPr>
        <w:t xml:space="preserve"> fits that description perfectly. It i</w:t>
      </w:r>
      <w:r>
        <w:rPr>
          <w:rFonts w:ascii="Gill Sans MT" w:hAnsi="Gill Sans MT"/>
        </w:rPr>
        <w:t>s precisely what Mr Grundy says it is: isolated, not forming part of a settlement and/or an existing neighbourhood</w:t>
      </w:r>
      <w:r w:rsidR="00A50235">
        <w:rPr>
          <w:rFonts w:ascii="Gill Sans MT" w:hAnsi="Gill Sans MT"/>
        </w:rPr>
        <w:t>,</w:t>
      </w:r>
      <w:r>
        <w:rPr>
          <w:rFonts w:ascii="Gill Sans MT" w:hAnsi="Gill Sans MT"/>
        </w:rPr>
        <w:t xml:space="preserve"> where the residents would not form part of any existing community (JG, Location PoE, paras. 6.2 to 6.4)</w:t>
      </w:r>
      <w:r w:rsidR="00A50235">
        <w:rPr>
          <w:rFonts w:ascii="Gill Sans MT" w:hAnsi="Gill Sans MT"/>
        </w:rPr>
        <w:t xml:space="preserve">; ‘stand-alone’ (JG Visual PoE para. 4.1). </w:t>
      </w:r>
      <w:r w:rsidR="00A50235">
        <w:rPr>
          <w:rFonts w:ascii="Gill Sans MT" w:hAnsi="Gill Sans MT"/>
        </w:rPr>
        <w:br/>
      </w:r>
    </w:p>
    <w:p w14:paraId="3C40F9DC" w14:textId="6EB4CD86" w:rsidR="00005D32" w:rsidRDefault="00A50235" w:rsidP="00B24A93">
      <w:pPr>
        <w:pStyle w:val="ListParagraph"/>
        <w:numPr>
          <w:ilvl w:val="0"/>
          <w:numId w:val="1"/>
        </w:numPr>
        <w:spacing w:line="360" w:lineRule="auto"/>
        <w:rPr>
          <w:rFonts w:ascii="Gill Sans MT" w:hAnsi="Gill Sans MT"/>
        </w:rPr>
      </w:pPr>
      <w:r>
        <w:rPr>
          <w:rFonts w:ascii="Gill Sans MT" w:hAnsi="Gill Sans MT"/>
        </w:rPr>
        <w:t xml:space="preserve">No lengthy submissions are required to substantiate that claim. It is substantiated </w:t>
      </w:r>
      <w:r w:rsidR="000D231C">
        <w:rPr>
          <w:rFonts w:ascii="Gill Sans MT" w:hAnsi="Gill Sans MT"/>
        </w:rPr>
        <w:t xml:space="preserve">graphically by the plan produced by Mr Hughes at Vol.2 p.63. </w:t>
      </w:r>
      <w:r w:rsidR="00005D32">
        <w:rPr>
          <w:rFonts w:ascii="Gill Sans MT" w:hAnsi="Gill Sans MT"/>
        </w:rPr>
        <w:t xml:space="preserve">We are confident that your site visit Sir </w:t>
      </w:r>
      <w:r w:rsidR="000D231C">
        <w:rPr>
          <w:rFonts w:ascii="Gill Sans MT" w:hAnsi="Gill Sans MT"/>
        </w:rPr>
        <w:t>will serve to further underscore our submission in this respect. The site as experienced on the ground is no different to what one would expect having seen it in plan form</w:t>
      </w:r>
      <w:r w:rsidR="004D2B43">
        <w:rPr>
          <w:rFonts w:ascii="Gill Sans MT" w:hAnsi="Gill Sans MT"/>
        </w:rPr>
        <w:t>.</w:t>
      </w:r>
      <w:r w:rsidR="00587602">
        <w:rPr>
          <w:rFonts w:ascii="Gill Sans MT" w:hAnsi="Gill Sans MT"/>
        </w:rPr>
        <w:t xml:space="preserve"> </w:t>
      </w:r>
      <w:r w:rsidR="004D2B43">
        <w:rPr>
          <w:rFonts w:ascii="Gill Sans MT" w:hAnsi="Gill Sans MT"/>
        </w:rPr>
        <w:t>It</w:t>
      </w:r>
      <w:r w:rsidR="00587602">
        <w:rPr>
          <w:rFonts w:ascii="Gill Sans MT" w:hAnsi="Gill Sans MT"/>
        </w:rPr>
        <w:t xml:space="preserve"> is several fields removed from Kirk Hallam (‘KH’)</w:t>
      </w:r>
      <w:r w:rsidR="004D2B43">
        <w:rPr>
          <w:rFonts w:ascii="Gill Sans MT" w:hAnsi="Gill Sans MT"/>
        </w:rPr>
        <w:t xml:space="preserve">, and </w:t>
      </w:r>
      <w:r w:rsidR="00100CAD">
        <w:rPr>
          <w:rFonts w:ascii="Gill Sans MT" w:hAnsi="Gill Sans MT"/>
        </w:rPr>
        <w:t>is not being put forward as an extension</w:t>
      </w:r>
      <w:r w:rsidR="004D2B43">
        <w:rPr>
          <w:rFonts w:ascii="Gill Sans MT" w:hAnsi="Gill Sans MT"/>
        </w:rPr>
        <w:t xml:space="preserve"> to that settlement</w:t>
      </w:r>
      <w:r w:rsidR="00005D32">
        <w:rPr>
          <w:rFonts w:ascii="Gill Sans MT" w:hAnsi="Gill Sans MT"/>
        </w:rPr>
        <w:t xml:space="preserve"> (Hughes XX). Indeed, the Appellant ran the argument that a clear defensible boundary would remain between KH and development on the appeal site. </w:t>
      </w:r>
      <w:r w:rsidR="00005D32">
        <w:rPr>
          <w:rFonts w:ascii="Gill Sans MT" w:hAnsi="Gill Sans MT"/>
        </w:rPr>
        <w:br/>
      </w:r>
    </w:p>
    <w:p w14:paraId="74BC5058" w14:textId="293D6E6A" w:rsidR="00BB6ED4" w:rsidRDefault="00005D32" w:rsidP="00B24A93">
      <w:pPr>
        <w:pStyle w:val="ListParagraph"/>
        <w:numPr>
          <w:ilvl w:val="0"/>
          <w:numId w:val="1"/>
        </w:numPr>
        <w:spacing w:line="360" w:lineRule="auto"/>
        <w:rPr>
          <w:rFonts w:ascii="Gill Sans MT" w:hAnsi="Gill Sans MT"/>
        </w:rPr>
      </w:pPr>
      <w:r>
        <w:rPr>
          <w:rFonts w:ascii="Gill Sans MT" w:hAnsi="Gill Sans MT"/>
        </w:rPr>
        <w:t>That leaves the question of whether the residential development would form</w:t>
      </w:r>
      <w:r w:rsidR="001454E3">
        <w:rPr>
          <w:rFonts w:ascii="Gill Sans MT" w:hAnsi="Gill Sans MT"/>
        </w:rPr>
        <w:t xml:space="preserve"> part of Ilkeston, and function as a neighbourhood of that settlement. </w:t>
      </w:r>
      <w:r>
        <w:rPr>
          <w:rFonts w:ascii="Gill Sans MT" w:hAnsi="Gill Sans MT"/>
        </w:rPr>
        <w:t xml:space="preserve">The Appellant says the appeal site would </w:t>
      </w:r>
      <w:r w:rsidR="001454E3">
        <w:rPr>
          <w:rFonts w:ascii="Gill Sans MT" w:hAnsi="Gill Sans MT"/>
        </w:rPr>
        <w:t>‘</w:t>
      </w:r>
      <w:r>
        <w:rPr>
          <w:rFonts w:ascii="Gill Sans MT" w:hAnsi="Gill Sans MT"/>
        </w:rPr>
        <w:t>adjoin</w:t>
      </w:r>
      <w:r w:rsidR="001454E3">
        <w:rPr>
          <w:rFonts w:ascii="Gill Sans MT" w:hAnsi="Gill Sans MT"/>
        </w:rPr>
        <w:t>’</w:t>
      </w:r>
      <w:r>
        <w:rPr>
          <w:rFonts w:ascii="Gill Sans MT" w:hAnsi="Gill Sans MT"/>
        </w:rPr>
        <w:t xml:space="preserve"> the Stanton Regeneration Site </w:t>
      </w:r>
      <w:r w:rsidR="001454E3">
        <w:rPr>
          <w:rFonts w:ascii="Gill Sans MT" w:hAnsi="Gill Sans MT"/>
        </w:rPr>
        <w:t xml:space="preserve">(‘SRS’), that SRS is an ‘integral part of’ the  </w:t>
      </w:r>
      <w:r>
        <w:rPr>
          <w:rFonts w:ascii="Gill Sans MT" w:hAnsi="Gill Sans MT"/>
        </w:rPr>
        <w:t>Ilkeston Urban Area (IUA), an</w:t>
      </w:r>
      <w:r w:rsidR="001454E3">
        <w:rPr>
          <w:rFonts w:ascii="Gill Sans MT" w:hAnsi="Gill Sans MT"/>
        </w:rPr>
        <w:t xml:space="preserve">d therefore the appeal site would adjoin the IUA. We will return very shortly </w:t>
      </w:r>
      <w:r w:rsidR="001454E3">
        <w:rPr>
          <w:rFonts w:ascii="Gill Sans MT" w:hAnsi="Gill Sans MT"/>
        </w:rPr>
        <w:lastRenderedPageBreak/>
        <w:t xml:space="preserve">to the flaws in this beguiling simple (dare we say simplistic) ‘logic’, but for present purposes let us assume that is correct. </w:t>
      </w:r>
      <w:r w:rsidR="00BB6ED4">
        <w:rPr>
          <w:rFonts w:ascii="Gill Sans MT" w:hAnsi="Gill Sans MT"/>
        </w:rPr>
        <w:br/>
      </w:r>
    </w:p>
    <w:p w14:paraId="31A7C289" w14:textId="04806A4D" w:rsidR="007C17C3" w:rsidRPr="007C17C3" w:rsidRDefault="001454E3" w:rsidP="007C17C3">
      <w:pPr>
        <w:pStyle w:val="ListParagraph"/>
        <w:numPr>
          <w:ilvl w:val="0"/>
          <w:numId w:val="1"/>
        </w:numPr>
        <w:spacing w:line="360" w:lineRule="auto"/>
        <w:rPr>
          <w:rFonts w:ascii="Gill Sans MT" w:hAnsi="Gill Sans MT"/>
        </w:rPr>
      </w:pPr>
      <w:r>
        <w:rPr>
          <w:rFonts w:ascii="Gill Sans MT" w:hAnsi="Gill Sans MT"/>
        </w:rPr>
        <w:t>Assuming it to be correct, it is not an answer to the fact (and it is a fact) that the appeal site is not connected with Ilkeston, and in landscape and visual terms does not read</w:t>
      </w:r>
      <w:r w:rsidR="00BB6ED4">
        <w:rPr>
          <w:rFonts w:ascii="Gill Sans MT" w:hAnsi="Gill Sans MT"/>
        </w:rPr>
        <w:t xml:space="preserve"> now,</w:t>
      </w:r>
      <w:r>
        <w:rPr>
          <w:rFonts w:ascii="Gill Sans MT" w:hAnsi="Gill Sans MT"/>
        </w:rPr>
        <w:t xml:space="preserve"> and will not read </w:t>
      </w:r>
      <w:r w:rsidR="00BB6ED4">
        <w:rPr>
          <w:rFonts w:ascii="Gill Sans MT" w:hAnsi="Gill Sans MT"/>
        </w:rPr>
        <w:t xml:space="preserve">when developed, </w:t>
      </w:r>
      <w:r>
        <w:rPr>
          <w:rFonts w:ascii="Gill Sans MT" w:hAnsi="Gill Sans MT"/>
        </w:rPr>
        <w:t xml:space="preserve">as part and parcel of that settlement. </w:t>
      </w:r>
      <w:r w:rsidR="00BB6ED4">
        <w:rPr>
          <w:rFonts w:ascii="Gill Sans MT" w:hAnsi="Gill Sans MT"/>
        </w:rPr>
        <w:t>It is</w:t>
      </w:r>
      <w:r>
        <w:rPr>
          <w:rFonts w:ascii="Gill Sans MT" w:hAnsi="Gill Sans MT"/>
        </w:rPr>
        <w:t xml:space="preserve"> </w:t>
      </w:r>
      <w:r w:rsidR="00BB6ED4">
        <w:rPr>
          <w:rFonts w:ascii="Gill Sans MT" w:hAnsi="Gill Sans MT"/>
          <w:lang w:val="en-US"/>
        </w:rPr>
        <w:t>divorced from Ilkeston by a combination of a canal, the Nutbrook Trail (‘NT’), fields (directly to the north) and an extensive industrial area (to the north-east). The development of the northern part of SRS site (</w:t>
      </w:r>
      <w:proofErr w:type="spellStart"/>
      <w:r w:rsidR="00BB6ED4">
        <w:rPr>
          <w:rFonts w:ascii="Gill Sans MT" w:hAnsi="Gill Sans MT"/>
          <w:lang w:val="en-US"/>
        </w:rPr>
        <w:t>i.e</w:t>
      </w:r>
      <w:proofErr w:type="spellEnd"/>
      <w:r w:rsidR="00BB6ED4">
        <w:rPr>
          <w:rFonts w:ascii="Gill Sans MT" w:hAnsi="Gill Sans MT"/>
          <w:lang w:val="en-US"/>
        </w:rPr>
        <w:t xml:space="preserve"> north of Lows Lane) for a pure employment use, comprised of very large ‘sheds’ and extensive areas of parking (Hughes Vol. 2, p.13) does not assist the Appellant’s case in this regard; it undermines it. Once developed, the norther</w:t>
      </w:r>
      <w:r w:rsidR="00E83A9B">
        <w:rPr>
          <w:rFonts w:ascii="Gill Sans MT" w:hAnsi="Gill Sans MT"/>
          <w:lang w:val="en-US"/>
        </w:rPr>
        <w:t>n</w:t>
      </w:r>
      <w:r w:rsidR="00BB6ED4">
        <w:rPr>
          <w:rFonts w:ascii="Gill Sans MT" w:hAnsi="Gill Sans MT"/>
          <w:lang w:val="en-US"/>
        </w:rPr>
        <w:t xml:space="preserve"> SRS will operate as yet another large ‘wedge’ of non-residential development between the appeal site and the existing residential areas of Ilkeston. If permitted, these circa. 200 houses will ‘hang-off’ the edge of a very large industrial area, having no meaningful relationship with Ilkeston as a residential settlement. </w:t>
      </w:r>
      <w:r w:rsidR="002A353B" w:rsidRPr="007C17C3">
        <w:rPr>
          <w:rFonts w:ascii="Gill Sans MT" w:hAnsi="Gill Sans MT"/>
          <w:lang w:val="en-US"/>
        </w:rPr>
        <w:t>So even if the Appellant is correct in saying that this site accords with SP2 because it will adjoin the IUA, its response does not engage with the LPA’s locational criticism.</w:t>
      </w:r>
      <w:r w:rsidR="007C17C3" w:rsidRPr="007C17C3">
        <w:rPr>
          <w:rFonts w:ascii="Gill Sans MT" w:hAnsi="Gill Sans MT"/>
          <w:lang w:val="en-US"/>
        </w:rPr>
        <w:br/>
      </w:r>
    </w:p>
    <w:p w14:paraId="4EAF92C6" w14:textId="77B4F814" w:rsidR="007C17C3" w:rsidRPr="007C17C3" w:rsidRDefault="002A353B" w:rsidP="00B24A93">
      <w:pPr>
        <w:pStyle w:val="ListParagraph"/>
        <w:numPr>
          <w:ilvl w:val="0"/>
          <w:numId w:val="1"/>
        </w:numPr>
        <w:spacing w:line="360" w:lineRule="auto"/>
        <w:rPr>
          <w:rFonts w:ascii="Gill Sans MT" w:hAnsi="Gill Sans MT"/>
        </w:rPr>
      </w:pPr>
      <w:r>
        <w:rPr>
          <w:rFonts w:ascii="Gill Sans MT" w:hAnsi="Gill Sans MT"/>
          <w:lang w:val="en-US"/>
        </w:rPr>
        <w:t xml:space="preserve">But the Appellant is not correct </w:t>
      </w:r>
      <w:r w:rsidR="007C17C3">
        <w:rPr>
          <w:rFonts w:ascii="Gill Sans MT" w:hAnsi="Gill Sans MT"/>
          <w:lang w:val="en-US"/>
        </w:rPr>
        <w:t xml:space="preserve">to say the proposal accords with </w:t>
      </w:r>
      <w:r w:rsidR="0093375D">
        <w:rPr>
          <w:rFonts w:ascii="Gill Sans MT" w:hAnsi="Gill Sans MT"/>
          <w:lang w:val="en-US"/>
        </w:rPr>
        <w:t xml:space="preserve">CS Policy </w:t>
      </w:r>
      <w:r w:rsidR="007C17C3">
        <w:rPr>
          <w:rFonts w:ascii="Gill Sans MT" w:hAnsi="Gill Sans MT"/>
          <w:lang w:val="en-US"/>
        </w:rPr>
        <w:t xml:space="preserve">2, </w:t>
      </w:r>
      <w:r>
        <w:rPr>
          <w:rFonts w:ascii="Gill Sans MT" w:hAnsi="Gill Sans MT"/>
          <w:lang w:val="en-US"/>
        </w:rPr>
        <w:t>as becomes clear if one reads the CS holistically and in its proper context</w:t>
      </w:r>
      <w:r w:rsidR="007C17C3">
        <w:rPr>
          <w:rFonts w:ascii="Gill Sans MT" w:hAnsi="Gill Sans MT"/>
          <w:lang w:val="en-US"/>
        </w:rPr>
        <w:t>:</w:t>
      </w:r>
      <w:r w:rsidR="007C17C3">
        <w:rPr>
          <w:rFonts w:ascii="Gill Sans MT" w:hAnsi="Gill Sans MT"/>
          <w:lang w:val="en-US"/>
        </w:rPr>
        <w:br/>
      </w:r>
    </w:p>
    <w:p w14:paraId="325393AF" w14:textId="77777777" w:rsidR="007C17C3" w:rsidRPr="007C17C3" w:rsidRDefault="002A353B" w:rsidP="007C17C3">
      <w:pPr>
        <w:pStyle w:val="ListParagraph"/>
        <w:numPr>
          <w:ilvl w:val="1"/>
          <w:numId w:val="1"/>
        </w:numPr>
        <w:spacing w:line="360" w:lineRule="auto"/>
        <w:rPr>
          <w:rFonts w:ascii="Gill Sans MT" w:hAnsi="Gill Sans MT"/>
        </w:rPr>
      </w:pPr>
      <w:r>
        <w:rPr>
          <w:rFonts w:ascii="Gill Sans MT" w:hAnsi="Gill Sans MT"/>
          <w:lang w:val="en-US"/>
        </w:rPr>
        <w:t xml:space="preserve">First, as </w:t>
      </w:r>
      <w:proofErr w:type="spellStart"/>
      <w:r>
        <w:rPr>
          <w:rFonts w:ascii="Gill Sans MT" w:hAnsi="Gill Sans MT"/>
          <w:lang w:val="en-US"/>
        </w:rPr>
        <w:t>Mr</w:t>
      </w:r>
      <w:proofErr w:type="spellEnd"/>
      <w:r>
        <w:rPr>
          <w:rFonts w:ascii="Gill Sans MT" w:hAnsi="Gill Sans MT"/>
          <w:lang w:val="en-US"/>
        </w:rPr>
        <w:t xml:space="preserve"> Hawley accepted (in XX and at PoE para. 2.53) the CS does not define the IUA</w:t>
      </w:r>
      <w:r w:rsidR="00B26746">
        <w:rPr>
          <w:rFonts w:ascii="Gill Sans MT" w:hAnsi="Gill Sans MT"/>
          <w:lang w:val="en-US"/>
        </w:rPr>
        <w:t xml:space="preserve"> either in its text or in the Key Diagram</w:t>
      </w:r>
      <w:r>
        <w:rPr>
          <w:rFonts w:ascii="Gill Sans MT" w:hAnsi="Gill Sans MT"/>
          <w:lang w:val="en-US"/>
        </w:rPr>
        <w:t xml:space="preserve">. The </w:t>
      </w:r>
      <w:r w:rsidR="00B26746">
        <w:rPr>
          <w:rFonts w:ascii="Gill Sans MT" w:hAnsi="Gill Sans MT"/>
          <w:lang w:val="en-US"/>
        </w:rPr>
        <w:t xml:space="preserve">Key Diagram uses the phrase </w:t>
      </w:r>
      <w:r>
        <w:rPr>
          <w:rFonts w:ascii="Gill Sans MT" w:hAnsi="Gill Sans MT"/>
          <w:lang w:val="en-US"/>
        </w:rPr>
        <w:t>‘settlement area’</w:t>
      </w:r>
      <w:r w:rsidR="00B26746">
        <w:rPr>
          <w:rFonts w:ascii="Gill Sans MT" w:hAnsi="Gill Sans MT"/>
          <w:lang w:val="en-US"/>
        </w:rPr>
        <w:t xml:space="preserve">; not IUA. There is </w:t>
      </w:r>
      <w:r w:rsidR="007C17C3">
        <w:rPr>
          <w:rFonts w:ascii="Gill Sans MT" w:hAnsi="Gill Sans MT"/>
          <w:lang w:val="en-US"/>
        </w:rPr>
        <w:t xml:space="preserve">no </w:t>
      </w:r>
      <w:r w:rsidR="00B26746">
        <w:rPr>
          <w:rFonts w:ascii="Gill Sans MT" w:hAnsi="Gill Sans MT"/>
          <w:lang w:val="en-US"/>
        </w:rPr>
        <w:t xml:space="preserve">basis for equating one with the other. All land that is developed or formerly developed is shaded yellow. </w:t>
      </w:r>
      <w:r w:rsidR="007C17C3">
        <w:rPr>
          <w:rFonts w:ascii="Gill Sans MT" w:hAnsi="Gill Sans MT"/>
          <w:lang w:val="en-US"/>
        </w:rPr>
        <w:br/>
      </w:r>
    </w:p>
    <w:p w14:paraId="25394432" w14:textId="34C19F2B" w:rsidR="007C17C3" w:rsidRPr="007C17C3" w:rsidRDefault="00B26746" w:rsidP="007C17C3">
      <w:pPr>
        <w:pStyle w:val="ListParagraph"/>
        <w:numPr>
          <w:ilvl w:val="1"/>
          <w:numId w:val="1"/>
        </w:numPr>
        <w:spacing w:line="360" w:lineRule="auto"/>
        <w:rPr>
          <w:rFonts w:ascii="Gill Sans MT" w:hAnsi="Gill Sans MT"/>
        </w:rPr>
      </w:pPr>
      <w:r>
        <w:rPr>
          <w:rFonts w:ascii="Gill Sans MT" w:hAnsi="Gill Sans MT"/>
          <w:lang w:val="en-US"/>
        </w:rPr>
        <w:t xml:space="preserve">Second, the CS was looking to the future – it sets out what the LPA wanted to see delivered. What it wanted to see delivered was a policy of urban concentration and regeneration. That was the context within which the SRS was allocated to </w:t>
      </w:r>
      <w:r w:rsidRPr="00B26746">
        <w:rPr>
          <w:rFonts w:ascii="Gill Sans MT" w:hAnsi="Gill Sans MT"/>
          <w:u w:val="single"/>
          <w:lang w:val="en-US"/>
        </w:rPr>
        <w:t>become</w:t>
      </w:r>
      <w:r>
        <w:rPr>
          <w:rFonts w:ascii="Gill Sans MT" w:hAnsi="Gill Sans MT"/>
          <w:lang w:val="en-US"/>
        </w:rPr>
        <w:t xml:space="preserve"> an integral part of Ilkeston</w:t>
      </w:r>
      <w:r w:rsidR="00E44D21">
        <w:rPr>
          <w:rFonts w:ascii="Gill Sans MT" w:hAnsi="Gill Sans MT"/>
          <w:lang w:val="en-US"/>
        </w:rPr>
        <w:t xml:space="preserve">. </w:t>
      </w:r>
      <w:r w:rsidR="00E44D21">
        <w:rPr>
          <w:rFonts w:ascii="Gill Sans MT" w:hAnsi="Gill Sans MT"/>
          <w:lang w:val="en-US"/>
        </w:rPr>
        <w:lastRenderedPageBreak/>
        <w:t>That vision was going to be realized through a mix</w:t>
      </w:r>
      <w:r w:rsidR="00E83A9B">
        <w:rPr>
          <w:rFonts w:ascii="Gill Sans MT" w:hAnsi="Gill Sans MT"/>
          <w:lang w:val="en-US"/>
        </w:rPr>
        <w:t>ed</w:t>
      </w:r>
      <w:r w:rsidR="00E44D21">
        <w:rPr>
          <w:rFonts w:ascii="Gill Sans MT" w:hAnsi="Gill Sans MT"/>
          <w:lang w:val="en-US"/>
        </w:rPr>
        <w:t xml:space="preserve"> use development – a ‘Sustainable New Community’</w:t>
      </w:r>
      <w:r w:rsidR="007C17C3">
        <w:rPr>
          <w:rFonts w:ascii="Gill Sans MT" w:hAnsi="Gill Sans MT"/>
          <w:lang w:val="en-US"/>
        </w:rPr>
        <w:t xml:space="preserve"> that was to be ‘linked to Ilkeston’</w:t>
      </w:r>
      <w:r w:rsidR="00E44D21">
        <w:rPr>
          <w:rFonts w:ascii="Gill Sans MT" w:hAnsi="Gill Sans MT"/>
          <w:lang w:val="en-US"/>
        </w:rPr>
        <w:t xml:space="preserve"> (see CS 2.4.5 and 2.51(ii))</w:t>
      </w:r>
      <w:r w:rsidR="007C17C3">
        <w:rPr>
          <w:rFonts w:ascii="Gill Sans MT" w:hAnsi="Gill Sans MT"/>
          <w:lang w:val="en-US"/>
        </w:rPr>
        <w:t xml:space="preserve"> and Policy 20 and para. 3.21.2 and 3.21.4)</w:t>
      </w:r>
      <w:r w:rsidR="00E44D21">
        <w:rPr>
          <w:rFonts w:ascii="Gill Sans MT" w:hAnsi="Gill Sans MT"/>
          <w:lang w:val="en-US"/>
        </w:rPr>
        <w:t xml:space="preserve">. </w:t>
      </w:r>
      <w:r w:rsidR="007C17C3">
        <w:rPr>
          <w:rFonts w:ascii="Gill Sans MT" w:hAnsi="Gill Sans MT"/>
          <w:lang w:val="en-US"/>
        </w:rPr>
        <w:br/>
      </w:r>
    </w:p>
    <w:p w14:paraId="1286FEF6" w14:textId="27B6E370" w:rsidR="000739CC" w:rsidRPr="000739CC" w:rsidRDefault="007C17C3" w:rsidP="007C17C3">
      <w:pPr>
        <w:pStyle w:val="ListParagraph"/>
        <w:numPr>
          <w:ilvl w:val="1"/>
          <w:numId w:val="1"/>
        </w:numPr>
        <w:spacing w:line="360" w:lineRule="auto"/>
        <w:rPr>
          <w:rFonts w:ascii="Gill Sans MT" w:hAnsi="Gill Sans MT"/>
        </w:rPr>
      </w:pPr>
      <w:r>
        <w:rPr>
          <w:rFonts w:ascii="Gill Sans MT" w:hAnsi="Gill Sans MT"/>
          <w:lang w:val="en-US"/>
        </w:rPr>
        <w:t xml:space="preserve">Third, that vision has not been realized, and with the development of the land north of Lows Lane for purely employment uses it will not now be realized. What has actually happened ‘on the ground’ is that </w:t>
      </w:r>
      <w:r w:rsidR="004D2B43">
        <w:rPr>
          <w:rFonts w:ascii="Gill Sans MT" w:hAnsi="Gill Sans MT"/>
          <w:lang w:val="en-US"/>
        </w:rPr>
        <w:t xml:space="preserve">the </w:t>
      </w:r>
      <w:r>
        <w:rPr>
          <w:rFonts w:ascii="Gill Sans MT" w:hAnsi="Gill Sans MT"/>
          <w:lang w:val="en-US"/>
        </w:rPr>
        <w:t>existing large industrial area to the north of the canal and Nutbrook Trail has been extended further south by ‘bolting on’ another very large area of industrial uses. The area that the ECS is proposing as a self-contained new settlement is to be located to the south of Lows Lane</w:t>
      </w:r>
      <w:r w:rsidR="000739CC">
        <w:rPr>
          <w:rFonts w:ascii="Gill Sans MT" w:hAnsi="Gill Sans MT"/>
          <w:lang w:val="en-US"/>
        </w:rPr>
        <w:t xml:space="preserve"> (see CD B3, SP1(3)(d))</w:t>
      </w:r>
      <w:r>
        <w:rPr>
          <w:rFonts w:ascii="Gill Sans MT" w:hAnsi="Gill Sans MT"/>
          <w:lang w:val="en-US"/>
        </w:rPr>
        <w:t xml:space="preserve">.  </w:t>
      </w:r>
      <w:r w:rsidR="000739CC">
        <w:rPr>
          <w:rFonts w:ascii="Gill Sans MT" w:hAnsi="Gill Sans MT"/>
          <w:lang w:val="en-US"/>
        </w:rPr>
        <w:br/>
      </w:r>
    </w:p>
    <w:p w14:paraId="554BD926" w14:textId="499265BE" w:rsidR="00B448CE" w:rsidRPr="00A72E5C" w:rsidRDefault="000739CC" w:rsidP="000739CC">
      <w:pPr>
        <w:pStyle w:val="ListParagraph"/>
        <w:numPr>
          <w:ilvl w:val="0"/>
          <w:numId w:val="1"/>
        </w:numPr>
        <w:spacing w:line="360" w:lineRule="auto"/>
        <w:rPr>
          <w:rFonts w:ascii="Gill Sans MT" w:hAnsi="Gill Sans MT"/>
        </w:rPr>
      </w:pPr>
      <w:r>
        <w:rPr>
          <w:rFonts w:ascii="Gill Sans MT" w:hAnsi="Gill Sans MT"/>
          <w:lang w:val="en-US"/>
        </w:rPr>
        <w:t>In this context, to argue that the SRS north of Lows Lane forms part of the IUA, and anything that adjoins it passes the test of ‘adjoining the IUA’, is to take a simplistic, tick-box approach to planning. It rips the CS out of its context, and ignores what has happened on the ground in actual fact. What this proposal as permitted will adjoin is a very large industrial estate. Further, for the Appellant to seek to rely on the emerging South Stanton allocation is contradictory, given that (a) it says the proposals in the ECS should get minimum weight; (b) if ECS is found sound the appeal site will be in the GB (</w:t>
      </w:r>
      <w:proofErr w:type="spellStart"/>
      <w:r>
        <w:rPr>
          <w:rFonts w:ascii="Gill Sans MT" w:hAnsi="Gill Sans MT"/>
          <w:lang w:val="en-US"/>
        </w:rPr>
        <w:t>i.e</w:t>
      </w:r>
      <w:proofErr w:type="spellEnd"/>
      <w:r>
        <w:rPr>
          <w:rFonts w:ascii="Gill Sans MT" w:hAnsi="Gill Sans MT"/>
          <w:lang w:val="en-US"/>
        </w:rPr>
        <w:t xml:space="preserve"> you cannot ‘cherry-pick’ from the ECS</w:t>
      </w:r>
      <w:r w:rsidR="00E83A9B">
        <w:rPr>
          <w:rFonts w:ascii="Gill Sans MT" w:hAnsi="Gill Sans MT"/>
          <w:lang w:val="en-US"/>
        </w:rPr>
        <w:t>)</w:t>
      </w:r>
      <w:r w:rsidR="0093375D">
        <w:rPr>
          <w:rFonts w:ascii="Gill Sans MT" w:hAnsi="Gill Sans MT"/>
          <w:lang w:val="en-US"/>
        </w:rPr>
        <w:t xml:space="preserve">; </w:t>
      </w:r>
      <w:r>
        <w:rPr>
          <w:rFonts w:ascii="Gill Sans MT" w:hAnsi="Gill Sans MT"/>
          <w:lang w:val="en-US"/>
        </w:rPr>
        <w:t xml:space="preserve">(c) this proposal will not read as part and parcel of South Stanton </w:t>
      </w:r>
      <w:r w:rsidR="0093375D">
        <w:rPr>
          <w:rFonts w:ascii="Gill Sans MT" w:hAnsi="Gill Sans MT"/>
          <w:lang w:val="en-US"/>
        </w:rPr>
        <w:t xml:space="preserve">because it is designed as an inward looking, self-contained housing estate; and (d) it is being put forward at this Inquiry by the Appellant as part of Ilkeston and not as part of a different, as yet to be designed or delivered, new self-contained settlement. </w:t>
      </w:r>
      <w:r w:rsidR="00B448CE">
        <w:rPr>
          <w:rFonts w:ascii="Gill Sans MT" w:hAnsi="Gill Sans MT"/>
          <w:lang w:val="en-US"/>
        </w:rPr>
        <w:br/>
      </w:r>
    </w:p>
    <w:p w14:paraId="2A44E2C0" w14:textId="7B47B7F6" w:rsidR="0093375D" w:rsidRPr="0093375D" w:rsidRDefault="00B448CE" w:rsidP="000739CC">
      <w:pPr>
        <w:pStyle w:val="ListParagraph"/>
        <w:numPr>
          <w:ilvl w:val="0"/>
          <w:numId w:val="1"/>
        </w:numPr>
        <w:spacing w:line="360" w:lineRule="auto"/>
        <w:rPr>
          <w:rFonts w:ascii="Gill Sans MT" w:hAnsi="Gill Sans MT"/>
        </w:rPr>
      </w:pPr>
      <w:r>
        <w:rPr>
          <w:rFonts w:ascii="Gill Sans MT" w:hAnsi="Gill Sans MT"/>
          <w:lang w:val="en-US"/>
        </w:rPr>
        <w:t xml:space="preserve">Standing back and looking at the matter more broadly, to permit this application </w:t>
      </w:r>
      <w:r w:rsidR="004D2B43">
        <w:rPr>
          <w:rFonts w:ascii="Gill Sans MT" w:hAnsi="Gill Sans MT"/>
          <w:lang w:val="en-US"/>
        </w:rPr>
        <w:t xml:space="preserve">also </w:t>
      </w:r>
      <w:r>
        <w:rPr>
          <w:rFonts w:ascii="Gill Sans MT" w:hAnsi="Gill Sans MT"/>
          <w:lang w:val="en-US"/>
        </w:rPr>
        <w:t xml:space="preserve">involves having to </w:t>
      </w:r>
      <w:r w:rsidR="004D2B43">
        <w:rPr>
          <w:rFonts w:ascii="Gill Sans MT" w:hAnsi="Gill Sans MT"/>
          <w:lang w:val="en-US"/>
        </w:rPr>
        <w:t xml:space="preserve">subscribe to the Appellant’s view that greenfield development on a site that has no relationship with the residential area of </w:t>
      </w:r>
      <w:proofErr w:type="spellStart"/>
      <w:r w:rsidR="004D2B43">
        <w:rPr>
          <w:rFonts w:ascii="Gill Sans MT" w:hAnsi="Gill Sans MT"/>
          <w:lang w:val="en-US"/>
        </w:rPr>
        <w:t>Ilkeston</w:t>
      </w:r>
      <w:proofErr w:type="spellEnd"/>
      <w:r w:rsidR="004D2B43">
        <w:rPr>
          <w:rFonts w:ascii="Gill Sans MT" w:hAnsi="Gill Sans MT"/>
          <w:lang w:val="en-US"/>
        </w:rPr>
        <w:t xml:space="preserve"> falls within the category of </w:t>
      </w:r>
      <w:r>
        <w:rPr>
          <w:rFonts w:ascii="Gill Sans MT" w:hAnsi="Gill Sans MT"/>
          <w:lang w:val="en-US"/>
        </w:rPr>
        <w:t>'</w:t>
      </w:r>
      <w:r w:rsidR="004D2B43">
        <w:rPr>
          <w:rFonts w:ascii="Gill Sans MT" w:hAnsi="Gill Sans MT"/>
          <w:lang w:val="en-US"/>
        </w:rPr>
        <w:t xml:space="preserve">urban concentration and </w:t>
      </w:r>
      <w:r w:rsidR="004D2B43">
        <w:rPr>
          <w:rFonts w:ascii="Gill Sans MT" w:hAnsi="Gill Sans MT"/>
          <w:lang w:val="en-US"/>
        </w:rPr>
        <w:lastRenderedPageBreak/>
        <w:t>regeneration</w:t>
      </w:r>
      <w:r>
        <w:rPr>
          <w:rFonts w:ascii="Gill Sans MT" w:hAnsi="Gill Sans MT"/>
          <w:lang w:val="en-US"/>
        </w:rPr>
        <w:t xml:space="preserve">’, which at its heart was what the CS was all about. </w:t>
      </w:r>
      <w:r w:rsidR="0093375D">
        <w:rPr>
          <w:rFonts w:ascii="Gill Sans MT" w:hAnsi="Gill Sans MT"/>
          <w:lang w:val="en-US"/>
        </w:rPr>
        <w:br/>
      </w:r>
    </w:p>
    <w:p w14:paraId="03C76103" w14:textId="3D7A5AED" w:rsidR="00803637" w:rsidRPr="00803637" w:rsidRDefault="0093375D" w:rsidP="000739CC">
      <w:pPr>
        <w:pStyle w:val="ListParagraph"/>
        <w:numPr>
          <w:ilvl w:val="0"/>
          <w:numId w:val="1"/>
        </w:numPr>
        <w:spacing w:line="360" w:lineRule="auto"/>
        <w:rPr>
          <w:rFonts w:ascii="Gill Sans MT" w:hAnsi="Gill Sans MT"/>
        </w:rPr>
      </w:pPr>
      <w:r>
        <w:rPr>
          <w:rFonts w:ascii="Gill Sans MT" w:hAnsi="Gill Sans MT"/>
          <w:lang w:val="en-US"/>
        </w:rPr>
        <w:t xml:space="preserve">Breach of CS Policy 2 is not cited as a RFR, and therefore even if the Appellant is in accord with it, it is not </w:t>
      </w:r>
      <w:r w:rsidR="00803637">
        <w:rPr>
          <w:rFonts w:ascii="Gill Sans MT" w:hAnsi="Gill Sans MT"/>
          <w:lang w:val="en-US"/>
        </w:rPr>
        <w:t xml:space="preserve">an </w:t>
      </w:r>
      <w:r>
        <w:rPr>
          <w:rFonts w:ascii="Gill Sans MT" w:hAnsi="Gill Sans MT"/>
          <w:lang w:val="en-US"/>
        </w:rPr>
        <w:t xml:space="preserve">answer to RsFR1 and 5, which rely </w:t>
      </w:r>
      <w:r w:rsidR="00E83A9B">
        <w:rPr>
          <w:rFonts w:ascii="Gill Sans MT" w:hAnsi="Gill Sans MT"/>
          <w:lang w:val="en-US"/>
        </w:rPr>
        <w:t xml:space="preserve">on </w:t>
      </w:r>
      <w:r>
        <w:rPr>
          <w:rFonts w:ascii="Gill Sans MT" w:hAnsi="Gill Sans MT"/>
          <w:lang w:val="en-US"/>
        </w:rPr>
        <w:t>CS Policies 10 and 14</w:t>
      </w:r>
      <w:r w:rsidR="00803637">
        <w:rPr>
          <w:rFonts w:ascii="Gill Sans MT" w:hAnsi="Gill Sans MT"/>
          <w:lang w:val="en-US"/>
        </w:rPr>
        <w:t xml:space="preserve">, and LP Policy H12. </w:t>
      </w:r>
      <w:r w:rsidR="0010776B">
        <w:rPr>
          <w:rFonts w:ascii="Gill Sans MT" w:hAnsi="Gill Sans MT"/>
          <w:lang w:val="en-US"/>
        </w:rPr>
        <w:br/>
      </w:r>
    </w:p>
    <w:p w14:paraId="58802136" w14:textId="500170E6" w:rsidR="00C6104B" w:rsidRPr="00C6104B" w:rsidRDefault="00803637" w:rsidP="000739CC">
      <w:pPr>
        <w:pStyle w:val="ListParagraph"/>
        <w:numPr>
          <w:ilvl w:val="0"/>
          <w:numId w:val="1"/>
        </w:numPr>
        <w:spacing w:line="360" w:lineRule="auto"/>
        <w:rPr>
          <w:rFonts w:ascii="Gill Sans MT" w:hAnsi="Gill Sans MT"/>
        </w:rPr>
      </w:pPr>
      <w:r>
        <w:rPr>
          <w:rFonts w:ascii="Gill Sans MT" w:hAnsi="Gill Sans MT"/>
          <w:lang w:val="en-US"/>
        </w:rPr>
        <w:t>This proposal breaches CS Policy 10(1)(a) and (b) – it cannot make a positive contribution to a sense of place because it is divorced from any existing settlement, and is too small a development and wholly lacking in shops, services or facilities to create its own sense of place (hence why the Appellant is forced to argue that it will form part of the Ilkeston). It cannot create an ‘inclusive’ environment</w:t>
      </w:r>
      <w:r w:rsidR="00B448CE">
        <w:rPr>
          <w:rFonts w:ascii="Gill Sans MT" w:hAnsi="Gill Sans MT"/>
          <w:lang w:val="en-US"/>
        </w:rPr>
        <w:t>;</w:t>
      </w:r>
      <w:r>
        <w:rPr>
          <w:rFonts w:ascii="Gill Sans MT" w:hAnsi="Gill Sans MT"/>
          <w:lang w:val="en-US"/>
        </w:rPr>
        <w:t xml:space="preserve"> it cannot ‘enhance or create a distinctive sense of place where people can feel proud of their </w:t>
      </w:r>
      <w:proofErr w:type="spellStart"/>
      <w:r>
        <w:rPr>
          <w:rFonts w:ascii="Gill Sans MT" w:hAnsi="Gill Sans MT"/>
          <w:lang w:val="en-US"/>
        </w:rPr>
        <w:t>neighbourhood</w:t>
      </w:r>
      <w:proofErr w:type="spellEnd"/>
      <w:r>
        <w:rPr>
          <w:rFonts w:ascii="Gill Sans MT" w:hAnsi="Gill Sans MT"/>
          <w:lang w:val="en-US"/>
        </w:rPr>
        <w:t xml:space="preserve">’, and </w:t>
      </w:r>
      <w:r w:rsidR="00C6104B">
        <w:rPr>
          <w:rFonts w:ascii="Gill Sans MT" w:hAnsi="Gill Sans MT"/>
          <w:lang w:val="en-US"/>
        </w:rPr>
        <w:t xml:space="preserve">it cannot ‘reinforce local identity’ (CS, paras. 3.11.5 and 3.11.6). </w:t>
      </w:r>
      <w:r w:rsidR="00C6104B">
        <w:rPr>
          <w:rFonts w:ascii="Gill Sans MT" w:hAnsi="Gill Sans MT"/>
          <w:lang w:val="en-US"/>
        </w:rPr>
        <w:br/>
      </w:r>
    </w:p>
    <w:p w14:paraId="4C52EB4B" w14:textId="68448082" w:rsidR="00C15537" w:rsidRPr="00C15537" w:rsidRDefault="00C6104B" w:rsidP="000739CC">
      <w:pPr>
        <w:pStyle w:val="ListParagraph"/>
        <w:numPr>
          <w:ilvl w:val="0"/>
          <w:numId w:val="1"/>
        </w:numPr>
        <w:spacing w:line="360" w:lineRule="auto"/>
        <w:rPr>
          <w:rFonts w:ascii="Gill Sans MT" w:hAnsi="Gill Sans MT"/>
        </w:rPr>
      </w:pPr>
      <w:r>
        <w:rPr>
          <w:rFonts w:ascii="Gill Sans MT" w:hAnsi="Gill Sans MT"/>
          <w:lang w:val="en-US"/>
        </w:rPr>
        <w:t xml:space="preserve">The LPA’s RFR5 is connected with the above analysis (namely the locational drawbacks of the site). The reason that it will have a significant impact on the visual amenities of the area is not because it is in a policy protected ‘gap’ (a straw-man set up by the Appellant), but because the housing will sit in an area which clearly forms part of a patchwork of undeveloped agricultural fields which currently read as open countryside sitting to the south of </w:t>
      </w:r>
      <w:proofErr w:type="spellStart"/>
      <w:r>
        <w:rPr>
          <w:rFonts w:ascii="Gill Sans MT" w:hAnsi="Gill Sans MT"/>
          <w:lang w:val="en-US"/>
        </w:rPr>
        <w:t>Ilkeston</w:t>
      </w:r>
      <w:proofErr w:type="spellEnd"/>
      <w:r>
        <w:rPr>
          <w:rFonts w:ascii="Gill Sans MT" w:hAnsi="Gill Sans MT"/>
          <w:lang w:val="en-US"/>
        </w:rPr>
        <w:t xml:space="preserve"> and </w:t>
      </w:r>
      <w:r w:rsidR="00E83A9B">
        <w:rPr>
          <w:rFonts w:ascii="Gill Sans MT" w:hAnsi="Gill Sans MT"/>
          <w:lang w:val="en-US"/>
        </w:rPr>
        <w:t xml:space="preserve">east </w:t>
      </w:r>
      <w:r>
        <w:rPr>
          <w:rFonts w:ascii="Gill Sans MT" w:hAnsi="Gill Sans MT"/>
          <w:lang w:val="en-US"/>
        </w:rPr>
        <w:t xml:space="preserve">of KH, helping to keep these two distinct parts of the IUA separate. Those leaving Ilkeston and travelling south, those leaving KH and travelling to the </w:t>
      </w:r>
      <w:r w:rsidR="00E83A9B">
        <w:rPr>
          <w:rFonts w:ascii="Gill Sans MT" w:hAnsi="Gill Sans MT"/>
          <w:lang w:val="en-US"/>
        </w:rPr>
        <w:t>east</w:t>
      </w:r>
      <w:r>
        <w:rPr>
          <w:rFonts w:ascii="Gill Sans MT" w:hAnsi="Gill Sans MT"/>
          <w:lang w:val="en-US"/>
        </w:rPr>
        <w:t xml:space="preserve">, those walking along the canal path and the Nutbrook Trail, view these fields as undeveloped countryside lying outside of the </w:t>
      </w:r>
      <w:r w:rsidR="00E83A9B">
        <w:rPr>
          <w:rFonts w:ascii="Gill Sans MT" w:hAnsi="Gill Sans MT"/>
          <w:lang w:val="en-US"/>
        </w:rPr>
        <w:t>settlements</w:t>
      </w:r>
      <w:r>
        <w:rPr>
          <w:rFonts w:ascii="Gill Sans MT" w:hAnsi="Gill Sans MT"/>
          <w:lang w:val="en-US"/>
        </w:rPr>
        <w:t xml:space="preserve"> of KH and Ilkeston. It is one thing to extend an existing settlement into adjoining countryside to meet housing needs</w:t>
      </w:r>
      <w:r w:rsidR="00C15537">
        <w:rPr>
          <w:rFonts w:ascii="Gill Sans MT" w:hAnsi="Gill Sans MT"/>
          <w:lang w:val="en-US"/>
        </w:rPr>
        <w:t xml:space="preserve">, but it is another completely to place housing in the countryside several fields removed from that settlement. </w:t>
      </w:r>
      <w:r w:rsidR="00B448CE">
        <w:rPr>
          <w:rFonts w:ascii="Gill Sans MT" w:hAnsi="Gill Sans MT"/>
          <w:lang w:val="en-US"/>
        </w:rPr>
        <w:t>S</w:t>
      </w:r>
      <w:r w:rsidR="00C15537">
        <w:rPr>
          <w:rFonts w:ascii="Gill Sans MT" w:hAnsi="Gill Sans MT"/>
          <w:lang w:val="en-US"/>
        </w:rPr>
        <w:t xml:space="preserve">uch development will </w:t>
      </w:r>
      <w:r w:rsidR="00B448CE">
        <w:rPr>
          <w:rFonts w:ascii="Gill Sans MT" w:hAnsi="Gill Sans MT"/>
          <w:lang w:val="en-US"/>
        </w:rPr>
        <w:t xml:space="preserve">undoubtedly </w:t>
      </w:r>
      <w:r w:rsidR="00C15537">
        <w:rPr>
          <w:rFonts w:ascii="Gill Sans MT" w:hAnsi="Gill Sans MT"/>
          <w:lang w:val="en-US"/>
        </w:rPr>
        <w:t xml:space="preserve">be perceived negatively, detracting as it will from the visual amenities of the area. To say that the views of it will be ‘highly </w:t>
      </w:r>
      <w:proofErr w:type="spellStart"/>
      <w:r w:rsidR="00C15537">
        <w:rPr>
          <w:rFonts w:ascii="Gill Sans MT" w:hAnsi="Gill Sans MT"/>
          <w:lang w:val="en-US"/>
        </w:rPr>
        <w:t>localised</w:t>
      </w:r>
      <w:proofErr w:type="spellEnd"/>
      <w:r w:rsidR="00C15537">
        <w:rPr>
          <w:rFonts w:ascii="Gill Sans MT" w:hAnsi="Gill Sans MT"/>
          <w:lang w:val="en-US"/>
        </w:rPr>
        <w:t>’ is to miss the point. The real questions are:</w:t>
      </w:r>
      <w:r w:rsidR="00C15537">
        <w:rPr>
          <w:rFonts w:ascii="Gill Sans MT" w:hAnsi="Gill Sans MT"/>
          <w:lang w:val="en-US"/>
        </w:rPr>
        <w:br/>
      </w:r>
    </w:p>
    <w:p w14:paraId="24BEA140" w14:textId="2702E494" w:rsidR="00C15537" w:rsidRPr="00C15537" w:rsidRDefault="00C15537" w:rsidP="00C15537">
      <w:pPr>
        <w:pStyle w:val="ListParagraph"/>
        <w:numPr>
          <w:ilvl w:val="1"/>
          <w:numId w:val="1"/>
        </w:numPr>
        <w:spacing w:line="360" w:lineRule="auto"/>
        <w:rPr>
          <w:rFonts w:ascii="Gill Sans MT" w:hAnsi="Gill Sans MT"/>
        </w:rPr>
      </w:pPr>
      <w:r>
        <w:rPr>
          <w:rFonts w:ascii="Gill Sans MT" w:hAnsi="Gill Sans MT"/>
          <w:lang w:val="en-US"/>
        </w:rPr>
        <w:lastRenderedPageBreak/>
        <w:t xml:space="preserve"> Will the houses be visible as a large residential estate lying to the south and south </w:t>
      </w:r>
      <w:r w:rsidR="00B448CE">
        <w:rPr>
          <w:rFonts w:ascii="Gill Sans MT" w:hAnsi="Gill Sans MT"/>
          <w:lang w:val="en-US"/>
        </w:rPr>
        <w:t>east</w:t>
      </w:r>
      <w:r>
        <w:rPr>
          <w:rFonts w:ascii="Gill Sans MT" w:hAnsi="Gill Sans MT"/>
          <w:lang w:val="en-US"/>
        </w:rPr>
        <w:t xml:space="preserve"> of the existing residential areas of the settlement from numerous vantage points? The answer is ‘yes’ – see SoCG para. 2.4(9). </w:t>
      </w:r>
      <w:r>
        <w:rPr>
          <w:rFonts w:ascii="Gill Sans MT" w:hAnsi="Gill Sans MT"/>
          <w:lang w:val="en-US"/>
        </w:rPr>
        <w:br/>
      </w:r>
    </w:p>
    <w:p w14:paraId="3A439E7C" w14:textId="77777777" w:rsidR="00051106" w:rsidRPr="00051106" w:rsidRDefault="00C15537" w:rsidP="00C15537">
      <w:pPr>
        <w:pStyle w:val="ListParagraph"/>
        <w:numPr>
          <w:ilvl w:val="1"/>
          <w:numId w:val="1"/>
        </w:numPr>
        <w:spacing w:line="360" w:lineRule="auto"/>
        <w:rPr>
          <w:rFonts w:ascii="Gill Sans MT" w:hAnsi="Gill Sans MT"/>
        </w:rPr>
      </w:pPr>
      <w:r>
        <w:rPr>
          <w:rFonts w:ascii="Gill Sans MT" w:hAnsi="Gill Sans MT"/>
          <w:lang w:val="en-US"/>
        </w:rPr>
        <w:t xml:space="preserve">Is it acceptable to have free-floating residential development in the countryside visible from a settlement edge, and not forming part of that settlement or any other settlement? The answer is clearly ‘no’. </w:t>
      </w:r>
      <w:r w:rsidR="00051106">
        <w:rPr>
          <w:rFonts w:ascii="Gill Sans MT" w:hAnsi="Gill Sans MT"/>
          <w:lang w:val="en-US"/>
        </w:rPr>
        <w:br/>
      </w:r>
    </w:p>
    <w:p w14:paraId="3F303F89" w14:textId="3507C414" w:rsidR="0010776B" w:rsidRPr="0010776B" w:rsidRDefault="0010776B" w:rsidP="00051106">
      <w:pPr>
        <w:pStyle w:val="ListParagraph"/>
        <w:numPr>
          <w:ilvl w:val="0"/>
          <w:numId w:val="1"/>
        </w:numPr>
        <w:spacing w:line="360" w:lineRule="auto"/>
        <w:rPr>
          <w:rFonts w:ascii="Gill Sans MT" w:hAnsi="Gill Sans MT"/>
        </w:rPr>
      </w:pPr>
      <w:r>
        <w:rPr>
          <w:rFonts w:ascii="Gill Sans MT" w:hAnsi="Gill Sans MT"/>
          <w:lang w:val="en-US"/>
        </w:rPr>
        <w:t xml:space="preserve">Turning next to accessibility and CS Policy 14, </w:t>
      </w:r>
      <w:proofErr w:type="spellStart"/>
      <w:r>
        <w:rPr>
          <w:rFonts w:ascii="Gill Sans MT" w:hAnsi="Gill Sans MT"/>
          <w:lang w:val="en-US"/>
        </w:rPr>
        <w:t>Mr</w:t>
      </w:r>
      <w:proofErr w:type="spellEnd"/>
      <w:r>
        <w:rPr>
          <w:rFonts w:ascii="Gill Sans MT" w:hAnsi="Gill Sans MT"/>
          <w:lang w:val="en-US"/>
        </w:rPr>
        <w:t xml:space="preserve"> Hawley suggested (RE) that accordance with CS Policy 2 inevitably means accordance with SP14, but that is incorrect. Even if a site does adjoin the IUA in policy terms, it does not automatically mean it is sufficiently accessible – its accessibility must be demonstrated and/or achieved through improvements to accessibility (see for example the SRS – described as an ‘integral part’ of Ilkeston, but the CS made its acceptability for development contingent upon improvements in accessibility). CS Policy 14(2) provides that ‘Development sites should be readily accessible by walking, cycling and public transport, but where accessibility deficiencies exist these will need to be fully addressed’. So there is no presumption that compliance with CS Policy 2 (assuming there is such compliance) equals compliance with CS Policy 14. </w:t>
      </w:r>
      <w:r>
        <w:rPr>
          <w:rFonts w:ascii="Gill Sans MT" w:hAnsi="Gill Sans MT"/>
          <w:lang w:val="en-US"/>
        </w:rPr>
        <w:br/>
      </w:r>
    </w:p>
    <w:p w14:paraId="47CD4D84" w14:textId="05FA0398" w:rsidR="005617FC" w:rsidRPr="005617FC" w:rsidRDefault="0010776B" w:rsidP="005617FC">
      <w:pPr>
        <w:pStyle w:val="ListParagraph"/>
        <w:numPr>
          <w:ilvl w:val="0"/>
          <w:numId w:val="1"/>
        </w:numPr>
        <w:spacing w:line="360" w:lineRule="auto"/>
        <w:rPr>
          <w:rFonts w:ascii="Gill Sans MT" w:hAnsi="Gill Sans MT"/>
        </w:rPr>
      </w:pPr>
      <w:r>
        <w:rPr>
          <w:rFonts w:ascii="Gill Sans MT" w:hAnsi="Gill Sans MT"/>
          <w:lang w:val="en-US"/>
        </w:rPr>
        <w:t xml:space="preserve">You Sir will have a note of the points relied upon by </w:t>
      </w:r>
      <w:proofErr w:type="spellStart"/>
      <w:r>
        <w:rPr>
          <w:rFonts w:ascii="Gill Sans MT" w:hAnsi="Gill Sans MT"/>
          <w:lang w:val="en-US"/>
        </w:rPr>
        <w:t>Mr</w:t>
      </w:r>
      <w:proofErr w:type="spellEnd"/>
      <w:r>
        <w:rPr>
          <w:rFonts w:ascii="Gill Sans MT" w:hAnsi="Gill Sans MT"/>
          <w:lang w:val="en-US"/>
        </w:rPr>
        <w:t xml:space="preserve"> Grundy in chief to support his opinion that this site is insufficiently accessible to meet the requirements of Policy 14 and the NPPF, as well </w:t>
      </w:r>
      <w:r w:rsidR="00E83A9B">
        <w:rPr>
          <w:rFonts w:ascii="Gill Sans MT" w:hAnsi="Gill Sans MT"/>
          <w:lang w:val="en-US"/>
        </w:rPr>
        <w:t xml:space="preserve">as </w:t>
      </w:r>
      <w:r>
        <w:rPr>
          <w:rFonts w:ascii="Gill Sans MT" w:hAnsi="Gill Sans MT"/>
          <w:lang w:val="en-US"/>
        </w:rPr>
        <w:t xml:space="preserve">the points I put to </w:t>
      </w:r>
      <w:proofErr w:type="spellStart"/>
      <w:r>
        <w:rPr>
          <w:rFonts w:ascii="Gill Sans MT" w:hAnsi="Gill Sans MT"/>
          <w:lang w:val="en-US"/>
        </w:rPr>
        <w:t>Mr</w:t>
      </w:r>
      <w:proofErr w:type="spellEnd"/>
      <w:r>
        <w:rPr>
          <w:rFonts w:ascii="Gill Sans MT" w:hAnsi="Gill Sans MT"/>
          <w:lang w:val="en-US"/>
        </w:rPr>
        <w:t xml:space="preserve"> Andrews in XX when I took him on the various routes to Ilkeston and to KH and pointed up the deficiencies in the various non-car modes of accessibility. You will also see those routes on your site visit.</w:t>
      </w:r>
      <w:r w:rsidR="005617FC">
        <w:rPr>
          <w:rFonts w:ascii="Gill Sans MT" w:hAnsi="Gill Sans MT"/>
          <w:lang w:val="en-US"/>
        </w:rPr>
        <w:t xml:space="preserve"> So we restrict ourselves to a few points by way of summary only:</w:t>
      </w:r>
      <w:r>
        <w:rPr>
          <w:rFonts w:ascii="Gill Sans MT" w:hAnsi="Gill Sans MT"/>
          <w:lang w:val="en-US"/>
        </w:rPr>
        <w:t xml:space="preserve"> </w:t>
      </w:r>
      <w:r w:rsidR="005617FC">
        <w:rPr>
          <w:rFonts w:ascii="Gill Sans MT" w:hAnsi="Gill Sans MT"/>
          <w:lang w:val="en-US"/>
        </w:rPr>
        <w:br/>
      </w:r>
    </w:p>
    <w:p w14:paraId="797FFBB8" w14:textId="77777777" w:rsidR="005617FC" w:rsidRPr="005617FC" w:rsidRDefault="005617FC" w:rsidP="005617FC">
      <w:pPr>
        <w:pStyle w:val="ListParagraph"/>
        <w:numPr>
          <w:ilvl w:val="1"/>
          <w:numId w:val="1"/>
        </w:numPr>
        <w:spacing w:line="360" w:lineRule="auto"/>
        <w:rPr>
          <w:rFonts w:ascii="Gill Sans MT" w:hAnsi="Gill Sans MT"/>
        </w:rPr>
      </w:pPr>
      <w:r>
        <w:rPr>
          <w:rFonts w:ascii="Gill Sans MT" w:hAnsi="Gill Sans MT"/>
          <w:lang w:val="en-US"/>
        </w:rPr>
        <w:t>F</w:t>
      </w:r>
      <w:r w:rsidR="00B25356" w:rsidRPr="005617FC">
        <w:rPr>
          <w:rFonts w:ascii="Gill Sans MT" w:hAnsi="Gill Sans MT"/>
          <w:lang w:val="en-US"/>
        </w:rPr>
        <w:t>e</w:t>
      </w:r>
      <w:r>
        <w:rPr>
          <w:rFonts w:ascii="Gill Sans MT" w:hAnsi="Gill Sans MT"/>
          <w:lang w:val="en-US"/>
        </w:rPr>
        <w:t>w</w:t>
      </w:r>
      <w:r w:rsidR="00B25356" w:rsidRPr="005617FC">
        <w:rPr>
          <w:rFonts w:ascii="Gill Sans MT" w:hAnsi="Gill Sans MT"/>
          <w:lang w:val="en-US"/>
        </w:rPr>
        <w:t xml:space="preserve"> will be tempted by the walk or cycle to I</w:t>
      </w:r>
      <w:r w:rsidRPr="005617FC">
        <w:rPr>
          <w:rFonts w:ascii="Gill Sans MT" w:hAnsi="Gill Sans MT"/>
          <w:lang w:val="en-US"/>
        </w:rPr>
        <w:t>l</w:t>
      </w:r>
      <w:r w:rsidR="00B25356" w:rsidRPr="005617FC">
        <w:rPr>
          <w:rFonts w:ascii="Gill Sans MT" w:hAnsi="Gill Sans MT"/>
          <w:lang w:val="en-US"/>
        </w:rPr>
        <w:t>keston, given both journey length and the inherently unattractive nature of the journey</w:t>
      </w:r>
      <w:r>
        <w:rPr>
          <w:rFonts w:ascii="Gill Sans MT" w:hAnsi="Gill Sans MT"/>
          <w:lang w:val="en-US"/>
        </w:rPr>
        <w:t>. W</w:t>
      </w:r>
      <w:r w:rsidR="00B25356" w:rsidRPr="005617FC">
        <w:rPr>
          <w:rFonts w:ascii="Gill Sans MT" w:hAnsi="Gill Sans MT"/>
          <w:lang w:val="en-US"/>
        </w:rPr>
        <w:t xml:space="preserve">e flag up in particular the obstacle of Ilkeston Road, the traverse </w:t>
      </w:r>
      <w:r w:rsidR="00B25356" w:rsidRPr="005617FC">
        <w:rPr>
          <w:rFonts w:ascii="Gill Sans MT" w:hAnsi="Gill Sans MT"/>
          <w:lang w:val="en-US"/>
        </w:rPr>
        <w:lastRenderedPageBreak/>
        <w:t xml:space="preserve">across the woodland and the uninviting prospect of wondering through a very large industrial area to reach </w:t>
      </w:r>
      <w:r w:rsidR="00FF4B7A" w:rsidRPr="005617FC">
        <w:rPr>
          <w:rFonts w:ascii="Gill Sans MT" w:hAnsi="Gill Sans MT"/>
          <w:lang w:val="en-US"/>
        </w:rPr>
        <w:t xml:space="preserve">the </w:t>
      </w:r>
      <w:r w:rsidRPr="005617FC">
        <w:rPr>
          <w:rFonts w:ascii="Gill Sans MT" w:hAnsi="Gill Sans MT"/>
          <w:lang w:val="en-US"/>
        </w:rPr>
        <w:t xml:space="preserve">modest prize of the </w:t>
      </w:r>
      <w:r w:rsidR="00FF4B7A" w:rsidRPr="005617FC">
        <w:rPr>
          <w:rFonts w:ascii="Gill Sans MT" w:hAnsi="Gill Sans MT"/>
          <w:lang w:val="en-US"/>
        </w:rPr>
        <w:t xml:space="preserve">residential outskirts of Ilkeston. </w:t>
      </w:r>
      <w:r w:rsidRPr="005617FC">
        <w:rPr>
          <w:rFonts w:ascii="Gill Sans MT" w:hAnsi="Gill Sans MT"/>
          <w:lang w:val="en-US"/>
        </w:rPr>
        <w:t>The bus provides an option during the day for those who do not wish to carry anything of any substance back, but is not an option for leisure trips in the evenings or Sundays.</w:t>
      </w:r>
      <w:r>
        <w:rPr>
          <w:rFonts w:ascii="Gill Sans MT" w:hAnsi="Gill Sans MT"/>
          <w:lang w:val="en-US"/>
        </w:rPr>
        <w:br/>
      </w:r>
    </w:p>
    <w:p w14:paraId="00DB1DCA" w14:textId="77777777" w:rsidR="00046785" w:rsidRPr="00046785" w:rsidRDefault="00FF4B7A" w:rsidP="005617FC">
      <w:pPr>
        <w:pStyle w:val="ListParagraph"/>
        <w:numPr>
          <w:ilvl w:val="1"/>
          <w:numId w:val="1"/>
        </w:numPr>
        <w:spacing w:line="360" w:lineRule="auto"/>
        <w:rPr>
          <w:rFonts w:ascii="Gill Sans MT" w:hAnsi="Gill Sans MT"/>
        </w:rPr>
      </w:pPr>
      <w:r w:rsidRPr="005617FC">
        <w:rPr>
          <w:rFonts w:ascii="Gill Sans MT" w:hAnsi="Gill Sans MT"/>
          <w:lang w:val="en-US"/>
        </w:rPr>
        <w:t>The</w:t>
      </w:r>
      <w:r w:rsidR="005617FC" w:rsidRPr="005617FC">
        <w:rPr>
          <w:rFonts w:ascii="Gill Sans MT" w:hAnsi="Gill Sans MT"/>
          <w:lang w:val="en-US"/>
        </w:rPr>
        <w:t xml:space="preserve">re is no bus service from the site to KH. </w:t>
      </w:r>
      <w:r w:rsidR="005617FC">
        <w:rPr>
          <w:rFonts w:ascii="Gill Sans MT" w:hAnsi="Gill Sans MT"/>
          <w:lang w:val="en-US"/>
        </w:rPr>
        <w:t>C</w:t>
      </w:r>
      <w:r w:rsidRPr="005617FC">
        <w:rPr>
          <w:rFonts w:ascii="Gill Sans MT" w:hAnsi="Gill Sans MT"/>
          <w:lang w:val="en-US"/>
        </w:rPr>
        <w:t xml:space="preserve">ycling </w:t>
      </w:r>
      <w:r w:rsidR="005617FC">
        <w:rPr>
          <w:rFonts w:ascii="Gill Sans MT" w:hAnsi="Gill Sans MT"/>
          <w:lang w:val="en-US"/>
        </w:rPr>
        <w:t xml:space="preserve">will be for </w:t>
      </w:r>
      <w:r w:rsidRPr="005617FC">
        <w:rPr>
          <w:rFonts w:ascii="Gill Sans MT" w:hAnsi="Gill Sans MT"/>
          <w:lang w:val="en-US"/>
        </w:rPr>
        <w:t>the most seasoned and brave</w:t>
      </w:r>
      <w:r w:rsidR="005617FC">
        <w:rPr>
          <w:rFonts w:ascii="Gill Sans MT" w:hAnsi="Gill Sans MT"/>
          <w:lang w:val="en-US"/>
        </w:rPr>
        <w:t xml:space="preserve"> only. </w:t>
      </w:r>
      <w:r w:rsidRPr="005617FC">
        <w:rPr>
          <w:rFonts w:ascii="Gill Sans MT" w:hAnsi="Gill Sans MT"/>
          <w:lang w:val="en-US"/>
        </w:rPr>
        <w:t xml:space="preserve">It is not a particularly wide road, it is winding, with patches of poor forward visibility. </w:t>
      </w:r>
      <w:r w:rsidR="005617FC">
        <w:rPr>
          <w:rFonts w:ascii="Gill Sans MT" w:hAnsi="Gill Sans MT"/>
          <w:lang w:val="en-US"/>
        </w:rPr>
        <w:t xml:space="preserve">It is frequented by </w:t>
      </w:r>
      <w:r w:rsidRPr="005617FC">
        <w:rPr>
          <w:rFonts w:ascii="Gill Sans MT" w:hAnsi="Gill Sans MT"/>
          <w:lang w:val="en-US"/>
        </w:rPr>
        <w:t>a significant number of larger vehicles</w:t>
      </w:r>
      <w:r w:rsidR="005617FC">
        <w:rPr>
          <w:rFonts w:ascii="Gill Sans MT" w:hAnsi="Gill Sans MT"/>
          <w:lang w:val="en-US"/>
        </w:rPr>
        <w:t>,</w:t>
      </w:r>
      <w:r w:rsidRPr="005617FC">
        <w:rPr>
          <w:rFonts w:ascii="Gill Sans MT" w:hAnsi="Gill Sans MT"/>
          <w:lang w:val="en-US"/>
        </w:rPr>
        <w:t xml:space="preserve"> and even cars will be unable to overtake a cyclist unless the oncoming lane is clear. </w:t>
      </w:r>
      <w:r w:rsidR="005617FC" w:rsidRPr="005617FC">
        <w:rPr>
          <w:rFonts w:ascii="Gill Sans MT" w:hAnsi="Gill Sans MT"/>
          <w:lang w:val="en-US"/>
        </w:rPr>
        <w:t>Few will volunteer to be in the saddle with an impatient motorist sitting on their shoulder.</w:t>
      </w:r>
      <w:r w:rsidR="005617FC">
        <w:rPr>
          <w:rFonts w:ascii="Gill Sans MT" w:hAnsi="Gill Sans MT"/>
          <w:lang w:val="en-US"/>
        </w:rPr>
        <w:t xml:space="preserve"> That leaves walking. The footpath once improved is likely to acceptable, but the distance </w:t>
      </w:r>
      <w:r w:rsidR="0003704C">
        <w:rPr>
          <w:rFonts w:ascii="Gill Sans MT" w:hAnsi="Gill Sans MT"/>
          <w:lang w:val="en-US"/>
        </w:rPr>
        <w:t xml:space="preserve">will not be acceptable to the vast majority. A few may choose to walk, and even they will not choose to walk on every occasion. The return journey is in excess of even the 2km that policy tells us those who already walk are likely to walk. A journey is defined in the guidance as a one-way trip; that same guidance tells us a 2km journey is not an unreasonable distance. How the Appellant infers from this that two one-way trips amounting to 4km is a reasonable journey is difficult to fathom. It is all a far-cry from the 800m walkable </w:t>
      </w:r>
      <w:proofErr w:type="spellStart"/>
      <w:r w:rsidR="0003704C">
        <w:rPr>
          <w:rFonts w:ascii="Gill Sans MT" w:hAnsi="Gill Sans MT"/>
          <w:lang w:val="en-US"/>
        </w:rPr>
        <w:t>neighbourhoods</w:t>
      </w:r>
      <w:proofErr w:type="spellEnd"/>
      <w:r w:rsidR="0003704C">
        <w:rPr>
          <w:rFonts w:ascii="Gill Sans MT" w:hAnsi="Gill Sans MT"/>
          <w:lang w:val="en-US"/>
        </w:rPr>
        <w:t xml:space="preserve"> that the Govt. now aspires to</w:t>
      </w:r>
      <w:r w:rsidR="00046785">
        <w:rPr>
          <w:rFonts w:ascii="Gill Sans MT" w:hAnsi="Gill Sans MT"/>
          <w:lang w:val="en-US"/>
        </w:rPr>
        <w:t xml:space="preserve"> in its latest advice. </w:t>
      </w:r>
      <w:r w:rsidR="00046785">
        <w:rPr>
          <w:rFonts w:ascii="Gill Sans MT" w:hAnsi="Gill Sans MT"/>
          <w:lang w:val="en-US"/>
        </w:rPr>
        <w:br/>
      </w:r>
    </w:p>
    <w:p w14:paraId="0E300076" w14:textId="6A72AB2B" w:rsidR="00046785" w:rsidRPr="00046785" w:rsidRDefault="0003704C" w:rsidP="00046785">
      <w:pPr>
        <w:pStyle w:val="ListParagraph"/>
        <w:numPr>
          <w:ilvl w:val="0"/>
          <w:numId w:val="1"/>
        </w:numPr>
        <w:spacing w:line="360" w:lineRule="auto"/>
        <w:rPr>
          <w:rFonts w:ascii="Gill Sans MT" w:hAnsi="Gill Sans MT"/>
        </w:rPr>
      </w:pPr>
      <w:r>
        <w:rPr>
          <w:rFonts w:ascii="Gill Sans MT" w:hAnsi="Gill Sans MT"/>
          <w:lang w:val="en-US"/>
        </w:rPr>
        <w:t xml:space="preserve"> </w:t>
      </w:r>
      <w:r w:rsidR="005617FC" w:rsidRPr="00046785">
        <w:rPr>
          <w:rFonts w:ascii="Gill Sans MT" w:hAnsi="Gill Sans MT"/>
          <w:lang w:val="en-US"/>
        </w:rPr>
        <w:t xml:space="preserve">The Appellant was keen to </w:t>
      </w:r>
      <w:proofErr w:type="spellStart"/>
      <w:r w:rsidR="005617FC" w:rsidRPr="00046785">
        <w:rPr>
          <w:rFonts w:ascii="Gill Sans MT" w:hAnsi="Gill Sans MT"/>
          <w:lang w:val="en-US"/>
        </w:rPr>
        <w:t>emphasise</w:t>
      </w:r>
      <w:proofErr w:type="spellEnd"/>
      <w:r w:rsidR="005617FC" w:rsidRPr="00046785">
        <w:rPr>
          <w:rFonts w:ascii="Gill Sans MT" w:hAnsi="Gill Sans MT"/>
          <w:lang w:val="en-US"/>
        </w:rPr>
        <w:t xml:space="preserve"> that the test in the NPPF is ‘genuine choice of transport modes’, and whilst this </w:t>
      </w:r>
      <w:r w:rsidR="00E83A9B">
        <w:rPr>
          <w:rFonts w:ascii="Gill Sans MT" w:hAnsi="Gill Sans MT"/>
          <w:lang w:val="en-US"/>
        </w:rPr>
        <w:t xml:space="preserve">is </w:t>
      </w:r>
      <w:r w:rsidR="005617FC" w:rsidRPr="00046785">
        <w:rPr>
          <w:rFonts w:ascii="Gill Sans MT" w:hAnsi="Gill Sans MT"/>
          <w:lang w:val="en-US"/>
        </w:rPr>
        <w:t xml:space="preserve">accurate it should not be taken to mean that a site meets the policy test simply because it is possible for some people to undertake the journey in question. The objective of the policy is to reduce reliance on the private car, and that will not happen unless the ‘choice’ in question is one that a significant number of people are likely in reality to make. </w:t>
      </w:r>
      <w:r w:rsidR="00046785">
        <w:rPr>
          <w:rFonts w:ascii="Gill Sans MT" w:hAnsi="Gill Sans MT"/>
          <w:lang w:val="en-US"/>
        </w:rPr>
        <w:t xml:space="preserve">That cannot be said of the appeal site and the choice it offers. </w:t>
      </w:r>
      <w:r w:rsidR="00046785">
        <w:rPr>
          <w:rFonts w:ascii="Gill Sans MT" w:hAnsi="Gill Sans MT"/>
          <w:lang w:val="en-US"/>
        </w:rPr>
        <w:br/>
      </w:r>
    </w:p>
    <w:p w14:paraId="71B2E8C0" w14:textId="77777777" w:rsidR="00F23FB2" w:rsidRPr="00A72E5C" w:rsidRDefault="00B448CE" w:rsidP="00046785">
      <w:pPr>
        <w:pStyle w:val="ListParagraph"/>
        <w:numPr>
          <w:ilvl w:val="0"/>
          <w:numId w:val="1"/>
        </w:numPr>
        <w:spacing w:line="360" w:lineRule="auto"/>
        <w:rPr>
          <w:rFonts w:ascii="Gill Sans MT" w:hAnsi="Gill Sans MT"/>
        </w:rPr>
      </w:pPr>
      <w:r>
        <w:rPr>
          <w:rFonts w:ascii="Gill Sans MT" w:hAnsi="Gill Sans MT"/>
          <w:lang w:val="en-US"/>
        </w:rPr>
        <w:lastRenderedPageBreak/>
        <w:t xml:space="preserve">The other curious aspect of the Appellant’s case is that it now argues that the improvements it has agreed with the HA in order to give some people a fighting chance of cycling or walking to </w:t>
      </w:r>
      <w:proofErr w:type="spellStart"/>
      <w:r>
        <w:rPr>
          <w:rFonts w:ascii="Gill Sans MT" w:hAnsi="Gill Sans MT"/>
          <w:lang w:val="en-US"/>
        </w:rPr>
        <w:t>Ilkeston</w:t>
      </w:r>
      <w:proofErr w:type="spellEnd"/>
      <w:r>
        <w:rPr>
          <w:rFonts w:ascii="Gill Sans MT" w:hAnsi="Gill Sans MT"/>
          <w:lang w:val="en-US"/>
        </w:rPr>
        <w:t xml:space="preserve"> are in fact unnecessary. This is curious because this is the settlement which they say this estate will become part of, and yet they now say that very few people are likely to use the shops and services in </w:t>
      </w:r>
      <w:proofErr w:type="spellStart"/>
      <w:r>
        <w:rPr>
          <w:rFonts w:ascii="Gill Sans MT" w:hAnsi="Gill Sans MT"/>
          <w:lang w:val="en-US"/>
        </w:rPr>
        <w:t>Ilkeston</w:t>
      </w:r>
      <w:proofErr w:type="spellEnd"/>
      <w:r>
        <w:rPr>
          <w:rFonts w:ascii="Gill Sans MT" w:hAnsi="Gill Sans MT"/>
          <w:lang w:val="en-US"/>
        </w:rPr>
        <w:t xml:space="preserve"> because KH is so much easier to access. The fact is that even with the improvements they offered to the HA the site is not accessible to </w:t>
      </w:r>
      <w:proofErr w:type="spellStart"/>
      <w:r>
        <w:rPr>
          <w:rFonts w:ascii="Gill Sans MT" w:hAnsi="Gill Sans MT"/>
          <w:lang w:val="en-US"/>
        </w:rPr>
        <w:t>Ilkeston</w:t>
      </w:r>
      <w:proofErr w:type="spellEnd"/>
      <w:r>
        <w:rPr>
          <w:rFonts w:ascii="Gill Sans MT" w:hAnsi="Gill Sans MT"/>
          <w:lang w:val="en-US"/>
        </w:rPr>
        <w:t>.</w:t>
      </w:r>
      <w:r w:rsidR="00F23FB2">
        <w:rPr>
          <w:rFonts w:ascii="Gill Sans MT" w:hAnsi="Gill Sans MT"/>
          <w:lang w:val="en-US"/>
        </w:rPr>
        <w:br/>
      </w:r>
    </w:p>
    <w:p w14:paraId="66C19E85" w14:textId="77777777" w:rsidR="00F23FB2" w:rsidRPr="00A72E5C" w:rsidRDefault="00B448CE" w:rsidP="00046785">
      <w:pPr>
        <w:pStyle w:val="ListParagraph"/>
        <w:numPr>
          <w:ilvl w:val="0"/>
          <w:numId w:val="1"/>
        </w:numPr>
        <w:spacing w:line="360" w:lineRule="auto"/>
        <w:rPr>
          <w:rFonts w:ascii="Gill Sans MT" w:hAnsi="Gill Sans MT"/>
        </w:rPr>
      </w:pPr>
      <w:r>
        <w:rPr>
          <w:rFonts w:ascii="Gill Sans MT" w:hAnsi="Gill Sans MT"/>
          <w:lang w:val="en-US"/>
        </w:rPr>
        <w:t xml:space="preserve"> </w:t>
      </w:r>
      <w:r w:rsidR="00F23FB2">
        <w:rPr>
          <w:rFonts w:ascii="Gill Sans MT" w:hAnsi="Gill Sans MT"/>
          <w:lang w:val="en-US"/>
        </w:rPr>
        <w:t xml:space="preserve">Just as importantly, it wrong for an Appellant to agree improvements with the HA in return for the latter withdrawing its reasons for refusal, run the appeal and then argue at the end that the improvements are not necessary and should be struck out. If this was the tack it wanted to take, it should have informed the HA so that it could have provided witnesses to explain why the improvements are in fact necessary. </w:t>
      </w:r>
      <w:r w:rsidR="00F23FB2">
        <w:rPr>
          <w:rFonts w:ascii="Gill Sans MT" w:hAnsi="Gill Sans MT"/>
          <w:lang w:val="en-US"/>
        </w:rPr>
        <w:br/>
      </w:r>
    </w:p>
    <w:p w14:paraId="55D6C535" w14:textId="76D1B960" w:rsidR="00B448CE" w:rsidRPr="00A72E5C" w:rsidRDefault="00F23FB2" w:rsidP="00046785">
      <w:pPr>
        <w:pStyle w:val="ListParagraph"/>
        <w:numPr>
          <w:ilvl w:val="0"/>
          <w:numId w:val="1"/>
        </w:numPr>
        <w:spacing w:line="360" w:lineRule="auto"/>
        <w:rPr>
          <w:rFonts w:ascii="Gill Sans MT" w:hAnsi="Gill Sans MT"/>
        </w:rPr>
      </w:pPr>
      <w:r>
        <w:rPr>
          <w:rFonts w:ascii="Gill Sans MT" w:hAnsi="Gill Sans MT"/>
          <w:lang w:val="en-US"/>
        </w:rPr>
        <w:t xml:space="preserve">Finally, it would now appear that a critical part of the link (the footpath through the woodland) may never be delivered. There nothing before this Inquiry to show that anyone can be forced to provide it, or if they are going to provide it, when it will be provided. </w:t>
      </w:r>
      <w:r w:rsidR="00B448CE">
        <w:rPr>
          <w:rFonts w:ascii="Gill Sans MT" w:hAnsi="Gill Sans MT"/>
          <w:lang w:val="en-US"/>
        </w:rPr>
        <w:br/>
      </w:r>
    </w:p>
    <w:p w14:paraId="14F61FB4" w14:textId="636886E7" w:rsidR="00051106" w:rsidRPr="00046785" w:rsidRDefault="006A197B" w:rsidP="00046785">
      <w:pPr>
        <w:pStyle w:val="ListParagraph"/>
        <w:numPr>
          <w:ilvl w:val="0"/>
          <w:numId w:val="1"/>
        </w:numPr>
        <w:spacing w:line="360" w:lineRule="auto"/>
        <w:rPr>
          <w:rFonts w:ascii="Gill Sans MT" w:hAnsi="Gill Sans MT"/>
        </w:rPr>
      </w:pPr>
      <w:r>
        <w:rPr>
          <w:rFonts w:ascii="Gill Sans MT" w:hAnsi="Gill Sans MT"/>
          <w:lang w:val="en-US"/>
        </w:rPr>
        <w:t xml:space="preserve">We make this one final point about accessibility, but it should not be seen as in any way detracting from our submission that the proposal </w:t>
      </w:r>
      <w:r w:rsidR="00E83A9B">
        <w:rPr>
          <w:rFonts w:ascii="Gill Sans MT" w:hAnsi="Gill Sans MT"/>
          <w:lang w:val="en-US"/>
        </w:rPr>
        <w:t xml:space="preserve">is </w:t>
      </w:r>
      <w:r>
        <w:rPr>
          <w:rFonts w:ascii="Gill Sans MT" w:hAnsi="Gill Sans MT"/>
          <w:lang w:val="en-US"/>
        </w:rPr>
        <w:t>in breach of CS Policy 14 and the sustainability policies in the NPPF. Even if one were to accept that the facilities at KH are within a reasonable walking distance for the majority of residents, that still would not in our submission justify granting permission for housing that is unconnected with and will not form part of any existing residential settlement. Making a site accessible in a tick-box fashion (</w:t>
      </w:r>
      <w:proofErr w:type="spellStart"/>
      <w:r>
        <w:rPr>
          <w:rFonts w:ascii="Gill Sans MT" w:hAnsi="Gill Sans MT"/>
          <w:lang w:val="en-US"/>
        </w:rPr>
        <w:t>e.g</w:t>
      </w:r>
      <w:proofErr w:type="spellEnd"/>
      <w:r>
        <w:rPr>
          <w:rFonts w:ascii="Gill Sans MT" w:hAnsi="Gill Sans MT"/>
          <w:lang w:val="en-US"/>
        </w:rPr>
        <w:t xml:space="preserve"> placing it 2km outside of a settlement in the countryside with a useable footpath) cannot make a site sustainable if it is otherwise in the wrong place (</w:t>
      </w:r>
      <w:proofErr w:type="spellStart"/>
      <w:r>
        <w:rPr>
          <w:rFonts w:ascii="Gill Sans MT" w:hAnsi="Gill Sans MT"/>
          <w:lang w:val="en-US"/>
        </w:rPr>
        <w:t>i.e</w:t>
      </w:r>
      <w:proofErr w:type="spellEnd"/>
      <w:r>
        <w:rPr>
          <w:rFonts w:ascii="Gill Sans MT" w:hAnsi="Gill Sans MT"/>
          <w:lang w:val="en-US"/>
        </w:rPr>
        <w:t xml:space="preserve"> there are aspects of sustainability which go beyond and are more important than accessibility </w:t>
      </w:r>
      <w:r w:rsidRPr="006A197B">
        <w:rPr>
          <w:rFonts w:ascii="Gill Sans MT" w:hAnsi="Gill Sans MT"/>
          <w:i/>
          <w:iCs/>
          <w:lang w:val="en-US"/>
        </w:rPr>
        <w:t>per se</w:t>
      </w:r>
      <w:r>
        <w:rPr>
          <w:rFonts w:ascii="Gill Sans MT" w:hAnsi="Gill Sans MT"/>
          <w:lang w:val="en-US"/>
        </w:rPr>
        <w:t xml:space="preserve">).  </w:t>
      </w:r>
      <w:r w:rsidR="005617FC" w:rsidRPr="00046785">
        <w:rPr>
          <w:rFonts w:ascii="Gill Sans MT" w:hAnsi="Gill Sans MT"/>
          <w:lang w:val="en-US"/>
        </w:rPr>
        <w:br/>
      </w:r>
    </w:p>
    <w:p w14:paraId="666DD237" w14:textId="7566827D" w:rsidR="00051106" w:rsidRPr="00051106" w:rsidRDefault="00051106" w:rsidP="00051106">
      <w:pPr>
        <w:pStyle w:val="ListParagraph"/>
        <w:numPr>
          <w:ilvl w:val="0"/>
          <w:numId w:val="1"/>
        </w:numPr>
        <w:spacing w:line="360" w:lineRule="auto"/>
        <w:rPr>
          <w:rFonts w:ascii="Gill Sans MT" w:hAnsi="Gill Sans MT"/>
        </w:rPr>
      </w:pPr>
      <w:r>
        <w:rPr>
          <w:rFonts w:ascii="Gill Sans MT" w:hAnsi="Gill Sans MT"/>
          <w:lang w:val="en-US"/>
        </w:rPr>
        <w:lastRenderedPageBreak/>
        <w:t xml:space="preserve">By way of interim summary therefore, the proposals are in conflict with the DP, and seriously harmful to good planning. They should be refused unless material considerations indicate otherwise. </w:t>
      </w:r>
      <w:r w:rsidR="006A197B">
        <w:rPr>
          <w:rFonts w:ascii="Gill Sans MT" w:hAnsi="Gill Sans MT"/>
          <w:lang w:val="en-US"/>
        </w:rPr>
        <w:br/>
      </w:r>
      <w:r w:rsidR="006A197B">
        <w:rPr>
          <w:rFonts w:ascii="Gill Sans MT" w:hAnsi="Gill Sans MT"/>
        </w:rPr>
        <w:br/>
      </w:r>
      <w:r w:rsidR="006A197B" w:rsidRPr="006A197B">
        <w:rPr>
          <w:rFonts w:ascii="Gill Sans MT" w:hAnsi="Gill Sans MT"/>
          <w:u w:val="single"/>
        </w:rPr>
        <w:t>Tilted Balance</w:t>
      </w:r>
      <w:r w:rsidR="006A197B">
        <w:rPr>
          <w:rFonts w:ascii="Gill Sans MT" w:hAnsi="Gill Sans MT"/>
        </w:rPr>
        <w:t xml:space="preserve"> </w:t>
      </w:r>
      <w:r w:rsidR="006A197B">
        <w:rPr>
          <w:rFonts w:ascii="Gill Sans MT" w:hAnsi="Gill Sans MT"/>
        </w:rPr>
        <w:br/>
      </w:r>
    </w:p>
    <w:p w14:paraId="0DF0AEE7" w14:textId="1660A19F" w:rsidR="006F50E2" w:rsidRPr="006F50E2" w:rsidRDefault="006F50E2" w:rsidP="00051106">
      <w:pPr>
        <w:pStyle w:val="ListParagraph"/>
        <w:numPr>
          <w:ilvl w:val="0"/>
          <w:numId w:val="1"/>
        </w:numPr>
        <w:spacing w:line="360" w:lineRule="auto"/>
        <w:rPr>
          <w:rFonts w:ascii="Gill Sans MT" w:hAnsi="Gill Sans MT"/>
        </w:rPr>
      </w:pPr>
      <w:r>
        <w:rPr>
          <w:rFonts w:ascii="Gill Sans MT" w:hAnsi="Gill Sans MT"/>
          <w:lang w:val="en-US"/>
        </w:rPr>
        <w:t xml:space="preserve">This section must be read on the basis that you Sir have found in </w:t>
      </w:r>
      <w:proofErr w:type="spellStart"/>
      <w:r>
        <w:rPr>
          <w:rFonts w:ascii="Gill Sans MT" w:hAnsi="Gill Sans MT"/>
          <w:lang w:val="en-US"/>
        </w:rPr>
        <w:t>favour</w:t>
      </w:r>
      <w:proofErr w:type="spellEnd"/>
      <w:r>
        <w:rPr>
          <w:rFonts w:ascii="Gill Sans MT" w:hAnsi="Gill Sans MT"/>
          <w:lang w:val="en-US"/>
        </w:rPr>
        <w:t xml:space="preserve"> of the Council on the first question of whether the site is in conflict with the DP (because otherwise there would be no need to move on from NPPF para.11(c) to para. 11(d)(ii)). </w:t>
      </w:r>
      <w:r>
        <w:rPr>
          <w:rFonts w:ascii="Gill Sans MT" w:hAnsi="Gill Sans MT"/>
          <w:lang w:val="en-US"/>
        </w:rPr>
        <w:br/>
      </w:r>
    </w:p>
    <w:p w14:paraId="25721ACA" w14:textId="75C47CB2" w:rsidR="005F6219" w:rsidRPr="005F6219" w:rsidRDefault="005F6219" w:rsidP="00051106">
      <w:pPr>
        <w:pStyle w:val="ListParagraph"/>
        <w:numPr>
          <w:ilvl w:val="0"/>
          <w:numId w:val="1"/>
        </w:numPr>
        <w:spacing w:line="360" w:lineRule="auto"/>
        <w:rPr>
          <w:rFonts w:ascii="Gill Sans MT" w:hAnsi="Gill Sans MT"/>
        </w:rPr>
      </w:pPr>
      <w:r>
        <w:rPr>
          <w:rFonts w:ascii="Gill Sans MT" w:hAnsi="Gill Sans MT"/>
          <w:lang w:val="en-US"/>
        </w:rPr>
        <w:t xml:space="preserve">We begin this assessment by putting to one side the harms arising by virtue of impact on the designated asset (12 Houses), the conflict with the ECS and the harm by reason of prematurity. </w:t>
      </w:r>
      <w:r>
        <w:rPr>
          <w:rFonts w:ascii="Gill Sans MT" w:hAnsi="Gill Sans MT"/>
          <w:lang w:val="en-US"/>
        </w:rPr>
        <w:br/>
      </w:r>
    </w:p>
    <w:p w14:paraId="7097E5A1" w14:textId="3C0C3DF6" w:rsidR="006F50E2" w:rsidRPr="006F50E2" w:rsidRDefault="005F6219" w:rsidP="00051106">
      <w:pPr>
        <w:pStyle w:val="ListParagraph"/>
        <w:numPr>
          <w:ilvl w:val="0"/>
          <w:numId w:val="1"/>
        </w:numPr>
        <w:spacing w:line="360" w:lineRule="auto"/>
        <w:rPr>
          <w:rFonts w:ascii="Gill Sans MT" w:hAnsi="Gill Sans MT"/>
        </w:rPr>
      </w:pPr>
      <w:r>
        <w:rPr>
          <w:rFonts w:ascii="Gill Sans MT" w:hAnsi="Gill Sans MT"/>
          <w:lang w:val="en-US"/>
        </w:rPr>
        <w:t xml:space="preserve">In our submission, the benefits of this proposal, even according them the weight that </w:t>
      </w:r>
      <w:proofErr w:type="spellStart"/>
      <w:r>
        <w:rPr>
          <w:rFonts w:ascii="Gill Sans MT" w:hAnsi="Gill Sans MT"/>
          <w:lang w:val="en-US"/>
        </w:rPr>
        <w:t>Mr</w:t>
      </w:r>
      <w:proofErr w:type="spellEnd"/>
      <w:r>
        <w:rPr>
          <w:rFonts w:ascii="Gill Sans MT" w:hAnsi="Gill Sans MT"/>
          <w:lang w:val="en-US"/>
        </w:rPr>
        <w:t xml:space="preserve"> Hawley accords them, is insufficient to pass the test in the tilted balance. In making this submission we do not</w:t>
      </w:r>
      <w:r w:rsidR="00F23FB2">
        <w:rPr>
          <w:rFonts w:ascii="Gill Sans MT" w:hAnsi="Gill Sans MT"/>
          <w:lang w:val="en-US"/>
        </w:rPr>
        <w:t xml:space="preserve"> underestimate</w:t>
      </w:r>
      <w:r>
        <w:rPr>
          <w:rFonts w:ascii="Gill Sans MT" w:hAnsi="Gill Sans MT"/>
          <w:lang w:val="en-US"/>
        </w:rPr>
        <w:t xml:space="preserve"> the importance of providing housing and affordable housing, especially in a district in which the shortfall in housing land supply is significant. However, arguments based on lack of 5YHLS cannot be allowed to justify patently bad planning. Placing significant chunks of housing</w:t>
      </w:r>
      <w:r w:rsidR="006F50E2">
        <w:rPr>
          <w:rFonts w:ascii="Gill Sans MT" w:hAnsi="Gill Sans MT"/>
          <w:lang w:val="en-US"/>
        </w:rPr>
        <w:t xml:space="preserve"> in the countryside</w:t>
      </w:r>
      <w:r>
        <w:rPr>
          <w:rFonts w:ascii="Gill Sans MT" w:hAnsi="Gill Sans MT"/>
          <w:lang w:val="en-US"/>
        </w:rPr>
        <w:t xml:space="preserve">, without any supporting services or infrastructure, outside of and unconnected to existing settlements where </w:t>
      </w:r>
      <w:r w:rsidR="006F50E2">
        <w:rPr>
          <w:rFonts w:ascii="Gill Sans MT" w:hAnsi="Gill Sans MT"/>
          <w:lang w:val="en-US"/>
        </w:rPr>
        <w:t xml:space="preserve">such development will </w:t>
      </w:r>
      <w:r>
        <w:rPr>
          <w:rFonts w:ascii="Gill Sans MT" w:hAnsi="Gill Sans MT"/>
          <w:lang w:val="en-US"/>
        </w:rPr>
        <w:t>clearly detract visibly from the countryside and suffer from poor non-car accessibility is not the answer to our housing crisis. As we said at the outset, if it were</w:t>
      </w:r>
      <w:r w:rsidR="006F50E2">
        <w:rPr>
          <w:rFonts w:ascii="Gill Sans MT" w:hAnsi="Gill Sans MT"/>
          <w:lang w:val="en-US"/>
        </w:rPr>
        <w:t xml:space="preserve"> the answer</w:t>
      </w:r>
      <w:r>
        <w:rPr>
          <w:rFonts w:ascii="Gill Sans MT" w:hAnsi="Gill Sans MT"/>
          <w:lang w:val="en-US"/>
        </w:rPr>
        <w:t>, there would be no housing shortfall – sites fitting that description are all around us</w:t>
      </w:r>
      <w:r w:rsidR="006F50E2">
        <w:rPr>
          <w:rFonts w:ascii="Gill Sans MT" w:hAnsi="Gill Sans MT"/>
          <w:lang w:val="en-US"/>
        </w:rPr>
        <w:t xml:space="preserve">, but few have the audacity to take them all the way to appeal. The DP policies which rule out such development are wholly consistent with policies in the NPPF, and continue to attract full weight in the tilted balance (Hawley XX). </w:t>
      </w:r>
      <w:r>
        <w:rPr>
          <w:rFonts w:ascii="Gill Sans MT" w:hAnsi="Gill Sans MT"/>
          <w:lang w:val="en-US"/>
        </w:rPr>
        <w:t xml:space="preserve"> </w:t>
      </w:r>
      <w:r w:rsidR="006F50E2">
        <w:rPr>
          <w:rFonts w:ascii="Gill Sans MT" w:hAnsi="Gill Sans MT"/>
          <w:lang w:val="en-US"/>
        </w:rPr>
        <w:br/>
      </w:r>
    </w:p>
    <w:p w14:paraId="4CC423A9" w14:textId="77777777" w:rsidR="006F50E2" w:rsidRPr="006F50E2" w:rsidRDefault="006F50E2" w:rsidP="00051106">
      <w:pPr>
        <w:pStyle w:val="ListParagraph"/>
        <w:numPr>
          <w:ilvl w:val="0"/>
          <w:numId w:val="1"/>
        </w:numPr>
        <w:spacing w:line="360" w:lineRule="auto"/>
        <w:rPr>
          <w:rFonts w:ascii="Gill Sans MT" w:hAnsi="Gill Sans MT"/>
        </w:rPr>
      </w:pPr>
      <w:r>
        <w:rPr>
          <w:rFonts w:ascii="Gill Sans MT" w:hAnsi="Gill Sans MT"/>
          <w:lang w:val="en-US"/>
        </w:rPr>
        <w:lastRenderedPageBreak/>
        <w:t xml:space="preserve">So the answer to the Appellant’s tilted balance argument and the reliance on housing need is, in short, ‘see above’. </w:t>
      </w:r>
      <w:r>
        <w:rPr>
          <w:rFonts w:ascii="Gill Sans MT" w:hAnsi="Gill Sans MT"/>
          <w:lang w:val="en-US"/>
        </w:rPr>
        <w:br/>
      </w:r>
    </w:p>
    <w:p w14:paraId="4DCF7E50" w14:textId="3D42A4B8" w:rsidR="006F50E2" w:rsidRPr="006F50E2" w:rsidRDefault="006F50E2" w:rsidP="00051106">
      <w:pPr>
        <w:pStyle w:val="ListParagraph"/>
        <w:numPr>
          <w:ilvl w:val="0"/>
          <w:numId w:val="1"/>
        </w:numPr>
        <w:spacing w:line="360" w:lineRule="auto"/>
        <w:rPr>
          <w:rFonts w:ascii="Gill Sans MT" w:hAnsi="Gill Sans MT"/>
        </w:rPr>
      </w:pPr>
      <w:r>
        <w:rPr>
          <w:rFonts w:ascii="Gill Sans MT" w:hAnsi="Gill Sans MT"/>
          <w:lang w:val="en-US"/>
        </w:rPr>
        <w:t>But if more were needed, the ‘more’</w:t>
      </w:r>
      <w:r w:rsidR="00760D9D">
        <w:rPr>
          <w:rFonts w:ascii="Gill Sans MT" w:hAnsi="Gill Sans MT"/>
          <w:lang w:val="en-US"/>
        </w:rPr>
        <w:t xml:space="preserve"> as far as the benefits is concerned</w:t>
      </w:r>
      <w:r>
        <w:rPr>
          <w:rFonts w:ascii="Gill Sans MT" w:hAnsi="Gill Sans MT"/>
          <w:lang w:val="en-US"/>
        </w:rPr>
        <w:t xml:space="preserve"> is this: </w:t>
      </w:r>
      <w:r>
        <w:rPr>
          <w:rFonts w:ascii="Gill Sans MT" w:hAnsi="Gill Sans MT"/>
          <w:lang w:val="en-US"/>
        </w:rPr>
        <w:br/>
      </w:r>
    </w:p>
    <w:p w14:paraId="35130808" w14:textId="3CB1CB60" w:rsidR="00E53867" w:rsidRPr="00E53867" w:rsidRDefault="006F50E2" w:rsidP="006F50E2">
      <w:pPr>
        <w:pStyle w:val="ListParagraph"/>
        <w:numPr>
          <w:ilvl w:val="1"/>
          <w:numId w:val="1"/>
        </w:numPr>
        <w:spacing w:line="360" w:lineRule="auto"/>
        <w:rPr>
          <w:rFonts w:ascii="Gill Sans MT" w:hAnsi="Gill Sans MT"/>
        </w:rPr>
      </w:pPr>
      <w:r>
        <w:rPr>
          <w:rFonts w:ascii="Gill Sans MT" w:hAnsi="Gill Sans MT"/>
          <w:lang w:val="en-US"/>
        </w:rPr>
        <w:t xml:space="preserve">The weight to be accorded to housing (including AH) must be reduced to moderate if one accepts that housing in the wrong place should get less </w:t>
      </w:r>
      <w:r w:rsidR="00E53867">
        <w:rPr>
          <w:rFonts w:ascii="Gill Sans MT" w:hAnsi="Gill Sans MT"/>
          <w:lang w:val="en-US"/>
        </w:rPr>
        <w:t>beneficial weight than housing in the right place. It should also be moderated because there is a plan-led solution on the horizon to meeting the housing needs of this district (unlike those districts which have no up to date plan, no 5YHLS and have been unable to progress a plan to submission stage). If the plan is adopted within the next 18 months, that is the duration for which the 5YHLS shortfall will persist (upon adoption sufficient of the allocations should move into the deliverable component of the 5YHLS calculation). The weight must also be moderated because although the site if granted permission is likely to make a contribution to the 5YHLS, sites that come through the ECS will not be far behind because unlike the appeal site, many of the ECS are already in the hands of house-builders who have already committed considerabl</w:t>
      </w:r>
      <w:r w:rsidR="00E83A9B">
        <w:rPr>
          <w:rFonts w:ascii="Gill Sans MT" w:hAnsi="Gill Sans MT"/>
          <w:lang w:val="en-US"/>
        </w:rPr>
        <w:t>e</w:t>
      </w:r>
      <w:r w:rsidR="00E53867">
        <w:rPr>
          <w:rFonts w:ascii="Gill Sans MT" w:hAnsi="Gill Sans MT"/>
          <w:lang w:val="en-US"/>
        </w:rPr>
        <w:t xml:space="preserve"> resources to working up planning applications for those sites (</w:t>
      </w:r>
      <w:proofErr w:type="spellStart"/>
      <w:r w:rsidR="00E53867">
        <w:rPr>
          <w:rFonts w:ascii="Gill Sans MT" w:hAnsi="Gill Sans MT"/>
          <w:lang w:val="en-US"/>
        </w:rPr>
        <w:t>Mr</w:t>
      </w:r>
      <w:proofErr w:type="spellEnd"/>
      <w:r w:rsidR="00E53867">
        <w:rPr>
          <w:rFonts w:ascii="Gill Sans MT" w:hAnsi="Gill Sans MT"/>
          <w:lang w:val="en-US"/>
        </w:rPr>
        <w:t xml:space="preserve"> Grundy in XX). </w:t>
      </w:r>
      <w:r w:rsidR="00E53867">
        <w:rPr>
          <w:rFonts w:ascii="Gill Sans MT" w:hAnsi="Gill Sans MT"/>
          <w:lang w:val="en-US"/>
        </w:rPr>
        <w:br/>
      </w:r>
    </w:p>
    <w:p w14:paraId="1440757F" w14:textId="77777777" w:rsidR="00760D9D" w:rsidRPr="00760D9D" w:rsidRDefault="00E53867" w:rsidP="006F50E2">
      <w:pPr>
        <w:pStyle w:val="ListParagraph"/>
        <w:numPr>
          <w:ilvl w:val="1"/>
          <w:numId w:val="1"/>
        </w:numPr>
        <w:spacing w:line="360" w:lineRule="auto"/>
        <w:rPr>
          <w:rFonts w:ascii="Gill Sans MT" w:hAnsi="Gill Sans MT"/>
        </w:rPr>
      </w:pPr>
      <w:r>
        <w:rPr>
          <w:rFonts w:ascii="Gill Sans MT" w:hAnsi="Gill Sans MT"/>
          <w:lang w:val="en-US"/>
        </w:rPr>
        <w:t xml:space="preserve">This is not a proposal that delivers meaningful benefits over and above the delivery of housing and AH. The other benefits are limited to moderate at best. They are primarily benefits necessitated by and of relevance to the new development. Few will want to use the cycle link across the site for the same reason that few will cycle north out of the appeal site given the unattractiveness of making the connection to the cycle network to the north. </w:t>
      </w:r>
      <w:r w:rsidR="00760D9D">
        <w:rPr>
          <w:rFonts w:ascii="Gill Sans MT" w:hAnsi="Gill Sans MT"/>
          <w:lang w:val="en-US"/>
        </w:rPr>
        <w:t xml:space="preserve">The improved footpath along Sowbrook lane is not going to be used by people in KH to walk to and back from the SRS because it is simply too far. If the existing No.14 was being used by sufficient existing residents the operator </w:t>
      </w:r>
      <w:r w:rsidR="00760D9D">
        <w:rPr>
          <w:rFonts w:ascii="Gill Sans MT" w:hAnsi="Gill Sans MT"/>
          <w:lang w:val="en-US"/>
        </w:rPr>
        <w:lastRenderedPageBreak/>
        <w:t xml:space="preserve">would already have thought it worthwhile to increase the frequency during the peak periods. </w:t>
      </w:r>
      <w:r>
        <w:rPr>
          <w:rFonts w:ascii="Gill Sans MT" w:hAnsi="Gill Sans MT"/>
          <w:lang w:val="en-US"/>
        </w:rPr>
        <w:t xml:space="preserve"> </w:t>
      </w:r>
      <w:r w:rsidR="00760D9D">
        <w:rPr>
          <w:rFonts w:ascii="Gill Sans MT" w:hAnsi="Gill Sans MT"/>
          <w:lang w:val="en-US"/>
        </w:rPr>
        <w:br/>
      </w:r>
    </w:p>
    <w:p w14:paraId="3ED3E1E7" w14:textId="77777777" w:rsidR="00760D9D" w:rsidRPr="00760D9D" w:rsidRDefault="00760D9D" w:rsidP="00760D9D">
      <w:pPr>
        <w:pStyle w:val="ListParagraph"/>
        <w:numPr>
          <w:ilvl w:val="0"/>
          <w:numId w:val="1"/>
        </w:numPr>
        <w:spacing w:line="360" w:lineRule="auto"/>
        <w:rPr>
          <w:rFonts w:ascii="Gill Sans MT" w:hAnsi="Gill Sans MT"/>
        </w:rPr>
      </w:pPr>
      <w:r>
        <w:rPr>
          <w:rFonts w:ascii="Gill Sans MT" w:hAnsi="Gill Sans MT"/>
          <w:lang w:val="en-US"/>
        </w:rPr>
        <w:t xml:space="preserve">There is also ‘more’ as regards the disbenefits: </w:t>
      </w:r>
      <w:r>
        <w:rPr>
          <w:rFonts w:ascii="Gill Sans MT" w:hAnsi="Gill Sans MT"/>
          <w:lang w:val="en-US"/>
        </w:rPr>
        <w:br/>
      </w:r>
    </w:p>
    <w:p w14:paraId="572CA791" w14:textId="5E894E51" w:rsidR="00760D9D" w:rsidRPr="00760D9D" w:rsidRDefault="00760D9D" w:rsidP="00760D9D">
      <w:pPr>
        <w:pStyle w:val="ListParagraph"/>
        <w:numPr>
          <w:ilvl w:val="1"/>
          <w:numId w:val="1"/>
        </w:numPr>
        <w:spacing w:line="360" w:lineRule="auto"/>
        <w:rPr>
          <w:rFonts w:ascii="Gill Sans MT" w:hAnsi="Gill Sans MT"/>
        </w:rPr>
      </w:pPr>
      <w:r>
        <w:rPr>
          <w:rFonts w:ascii="Gill Sans MT" w:hAnsi="Gill Sans MT"/>
          <w:lang w:val="en-US"/>
        </w:rPr>
        <w:t xml:space="preserve">The heritage harm must be added to the above policy harms, and given considerable weight and importance. </w:t>
      </w:r>
      <w:r>
        <w:rPr>
          <w:rFonts w:ascii="Gill Sans MT" w:hAnsi="Gill Sans MT"/>
          <w:lang w:val="en-US"/>
        </w:rPr>
        <w:br/>
      </w:r>
    </w:p>
    <w:p w14:paraId="1239590D" w14:textId="6018B9E2" w:rsidR="003E0CC1" w:rsidRPr="003E0CC1" w:rsidRDefault="00760D9D" w:rsidP="00760D9D">
      <w:pPr>
        <w:pStyle w:val="ListParagraph"/>
        <w:numPr>
          <w:ilvl w:val="1"/>
          <w:numId w:val="1"/>
        </w:numPr>
        <w:spacing w:line="360" w:lineRule="auto"/>
        <w:rPr>
          <w:rFonts w:ascii="Gill Sans MT" w:hAnsi="Gill Sans MT"/>
        </w:rPr>
      </w:pPr>
      <w:r>
        <w:rPr>
          <w:rFonts w:ascii="Gill Sans MT" w:hAnsi="Gill Sans MT"/>
          <w:lang w:val="en-US"/>
        </w:rPr>
        <w:t>The proposal is contrary to the ECS, in particular as regards the draft policy that places this site and the surrounding land into the GB. We do not deny that there are ‘significant’ unresolved objections to the ECS, but there is nothing in para.48 to say that all three criteria are tests to be met before any weight can be attached to emerging policies. Criterion 48(b) is one criterion to which regard must be had, alongside the other two criteria. The plan is at an advance</w:t>
      </w:r>
      <w:r w:rsidR="00E83A9B">
        <w:rPr>
          <w:rFonts w:ascii="Gill Sans MT" w:hAnsi="Gill Sans MT"/>
          <w:lang w:val="en-US"/>
        </w:rPr>
        <w:t>d</w:t>
      </w:r>
      <w:r>
        <w:rPr>
          <w:rFonts w:ascii="Gill Sans MT" w:hAnsi="Gill Sans MT"/>
          <w:lang w:val="en-US"/>
        </w:rPr>
        <w:t xml:space="preserve"> stage – once submitted the outcomes are binary (either it will be found sound or it will not). To ask it to get to some other indeterminate stage between being submitted and found sound before it can be considered to be </w:t>
      </w:r>
      <w:r w:rsidR="003E0CC1">
        <w:rPr>
          <w:rFonts w:ascii="Gill Sans MT" w:hAnsi="Gill Sans MT"/>
          <w:lang w:val="en-US"/>
        </w:rPr>
        <w:t>‘</w:t>
      </w:r>
      <w:r>
        <w:rPr>
          <w:rFonts w:ascii="Gill Sans MT" w:hAnsi="Gill Sans MT"/>
          <w:lang w:val="en-US"/>
        </w:rPr>
        <w:t>advanced</w:t>
      </w:r>
      <w:r w:rsidR="003E0CC1">
        <w:rPr>
          <w:rFonts w:ascii="Gill Sans MT" w:hAnsi="Gill Sans MT"/>
          <w:lang w:val="en-US"/>
        </w:rPr>
        <w:t>’</w:t>
      </w:r>
      <w:r>
        <w:rPr>
          <w:rFonts w:ascii="Gill Sans MT" w:hAnsi="Gill Sans MT"/>
          <w:lang w:val="en-US"/>
        </w:rPr>
        <w:t xml:space="preserve"> makes little sense. </w:t>
      </w:r>
      <w:r w:rsidR="003E0CC1">
        <w:rPr>
          <w:rFonts w:ascii="Gill Sans MT" w:hAnsi="Gill Sans MT"/>
          <w:lang w:val="en-US"/>
        </w:rPr>
        <w:t xml:space="preserve">Criterion 48(c) is met – there is nothing inconsistent with the NPPF about an authority seeking to protect land outside of its settlements through a GB designation. Whether that approach is justified by reference to the exceptional circumstances test is not a matter that is capable of being determined through a s.78 Inquiry. Whatever weight is attached to the conflict with the ECS (moderate to substantial as per </w:t>
      </w:r>
      <w:proofErr w:type="spellStart"/>
      <w:r w:rsidR="003E0CC1">
        <w:rPr>
          <w:rFonts w:ascii="Gill Sans MT" w:hAnsi="Gill Sans MT"/>
          <w:lang w:val="en-US"/>
        </w:rPr>
        <w:t>Mr</w:t>
      </w:r>
      <w:proofErr w:type="spellEnd"/>
      <w:r w:rsidR="003E0CC1">
        <w:rPr>
          <w:rFonts w:ascii="Gill Sans MT" w:hAnsi="Gill Sans MT"/>
          <w:lang w:val="en-US"/>
        </w:rPr>
        <w:t xml:space="preserve"> Reddish or very limited as per </w:t>
      </w:r>
      <w:proofErr w:type="spellStart"/>
      <w:r w:rsidR="003E0CC1">
        <w:rPr>
          <w:rFonts w:ascii="Gill Sans MT" w:hAnsi="Gill Sans MT"/>
          <w:lang w:val="en-US"/>
        </w:rPr>
        <w:t>Mr</w:t>
      </w:r>
      <w:proofErr w:type="spellEnd"/>
      <w:r w:rsidR="003E0CC1">
        <w:rPr>
          <w:rFonts w:ascii="Gill Sans MT" w:hAnsi="Gill Sans MT"/>
          <w:lang w:val="en-US"/>
        </w:rPr>
        <w:t xml:space="preserve"> Hawley), one thing is undeniable – it is yet another negative or adverse impact to be weighed against the proposal. </w:t>
      </w:r>
      <w:r w:rsidR="003E0CC1">
        <w:rPr>
          <w:rFonts w:ascii="Gill Sans MT" w:hAnsi="Gill Sans MT"/>
          <w:lang w:val="en-US"/>
        </w:rPr>
        <w:br/>
      </w:r>
    </w:p>
    <w:p w14:paraId="6AA2D059" w14:textId="2F9FEC44" w:rsidR="00760D9D" w:rsidRPr="00760D9D" w:rsidRDefault="003E0CC1" w:rsidP="00760D9D">
      <w:pPr>
        <w:pStyle w:val="ListParagraph"/>
        <w:numPr>
          <w:ilvl w:val="1"/>
          <w:numId w:val="1"/>
        </w:numPr>
        <w:spacing w:line="360" w:lineRule="auto"/>
        <w:rPr>
          <w:rFonts w:ascii="Gill Sans MT" w:hAnsi="Gill Sans MT"/>
        </w:rPr>
      </w:pPr>
      <w:r>
        <w:rPr>
          <w:rFonts w:ascii="Gill Sans MT" w:hAnsi="Gill Sans MT"/>
          <w:lang w:val="en-US"/>
        </w:rPr>
        <w:t xml:space="preserve">Granting the proposal will clearly prejudge one of the central disputes that fall to resolved as part of the upcoming </w:t>
      </w:r>
      <w:r w:rsidR="00E83A9B">
        <w:rPr>
          <w:rFonts w:ascii="Gill Sans MT" w:hAnsi="Gill Sans MT"/>
          <w:lang w:val="en-US"/>
        </w:rPr>
        <w:t xml:space="preserve">ECS </w:t>
      </w:r>
      <w:r>
        <w:rPr>
          <w:rFonts w:ascii="Gill Sans MT" w:hAnsi="Gill Sans MT"/>
          <w:lang w:val="en-US"/>
        </w:rPr>
        <w:t xml:space="preserve">examination process, namely whether the Council is right to say that the most sustainable strategy is to protect the land that separates KH from Ilkeston and </w:t>
      </w:r>
      <w:r>
        <w:rPr>
          <w:rFonts w:ascii="Gill Sans MT" w:hAnsi="Gill Sans MT"/>
          <w:lang w:val="en-US"/>
        </w:rPr>
        <w:lastRenderedPageBreak/>
        <w:t xml:space="preserve">meet housing needs by releasing sustainable GB sites on the edge of other sustainable settlements, or whether the Appellant is right to say that separation between KH and Ilkeston is unimportant and the land should be sacrificed so as to minimize GB releases. It is impossible to see how permission can be granted for this proposal without reaching a concluded view on this dispute, a dispute which is better resolved through the plan-examination. This means that para.49(a) is engaged, and as explained above (and particularly so by reference to para. 50 when considering prematurity) the plan is now at an advanced stage. The officers and elected members of this District have taken a position on this matter and have submitted their position via the plan to independent inspectors. The Council is entitled to have its day in (the correct) court, namely the plan examination.      </w:t>
      </w:r>
      <w:r w:rsidR="00760D9D">
        <w:rPr>
          <w:rFonts w:ascii="Gill Sans MT" w:hAnsi="Gill Sans MT"/>
          <w:lang w:val="en-US"/>
        </w:rPr>
        <w:br/>
      </w:r>
    </w:p>
    <w:p w14:paraId="78554BE5" w14:textId="2537CC63" w:rsidR="00C57615" w:rsidRPr="00C57615" w:rsidRDefault="00C57615" w:rsidP="00760D9D">
      <w:pPr>
        <w:pStyle w:val="ListParagraph"/>
        <w:numPr>
          <w:ilvl w:val="1"/>
          <w:numId w:val="1"/>
        </w:numPr>
        <w:spacing w:line="360" w:lineRule="auto"/>
        <w:rPr>
          <w:rFonts w:ascii="Gill Sans MT" w:hAnsi="Gill Sans MT"/>
        </w:rPr>
      </w:pPr>
      <w:r>
        <w:rPr>
          <w:rFonts w:ascii="Gill Sans MT" w:hAnsi="Gill Sans MT"/>
          <w:lang w:val="en-US"/>
        </w:rPr>
        <w:t xml:space="preserve">Granting planning permission runs the real risk of delaying plan adoption and thereby delaying housing delivery in much greater numbers than can possibly be delivered by this proposal (which is modest in comparison to both the need and the amount of housing land the plan will release upon adoption). It would be political naivety for anyone to believe that the residents of this area and their elected representatives will not want to revisit the plan strategy if a hole is punched into the very land that the ECS says should be designated as GB, and the housing need used to justify GB releases is reduced. The arguments about scale (200 house versus windfall requirement) is a complete red-herring – the ECS is put forward and will be examined on the basis that the land earmarked for GB can be protected and there will remain sufficient windfall capacity to deliver the quantum of windfall delivery assumed in the submitted plan. </w:t>
      </w:r>
      <w:r>
        <w:rPr>
          <w:rFonts w:ascii="Gill Sans MT" w:hAnsi="Gill Sans MT"/>
          <w:lang w:val="en-US"/>
        </w:rPr>
        <w:br/>
      </w:r>
    </w:p>
    <w:p w14:paraId="29490DBA" w14:textId="1634B9EA" w:rsidR="00C57615" w:rsidRPr="00C57615" w:rsidRDefault="00C57615" w:rsidP="00C57615">
      <w:pPr>
        <w:pStyle w:val="ListParagraph"/>
        <w:numPr>
          <w:ilvl w:val="0"/>
          <w:numId w:val="1"/>
        </w:numPr>
        <w:spacing w:line="360" w:lineRule="auto"/>
        <w:rPr>
          <w:rFonts w:ascii="Gill Sans MT" w:hAnsi="Gill Sans MT"/>
        </w:rPr>
      </w:pPr>
      <w:r>
        <w:rPr>
          <w:rFonts w:ascii="Gill Sans MT" w:hAnsi="Gill Sans MT"/>
          <w:lang w:val="en-US"/>
        </w:rPr>
        <w:t xml:space="preserve">In summary, the adverse impacts of this proposal significantly and demonstrably outweigh the benefits, and thus there are no material considerations to justify a decision otherwise than in accordance with the DP. </w:t>
      </w:r>
      <w:r>
        <w:rPr>
          <w:rFonts w:ascii="Gill Sans MT" w:hAnsi="Gill Sans MT"/>
          <w:lang w:val="en-US"/>
        </w:rPr>
        <w:br/>
      </w:r>
      <w:r>
        <w:rPr>
          <w:rFonts w:ascii="Gill Sans MT" w:hAnsi="Gill Sans MT"/>
        </w:rPr>
        <w:lastRenderedPageBreak/>
        <w:br/>
      </w:r>
      <w:r w:rsidRPr="00C57615">
        <w:rPr>
          <w:rFonts w:ascii="Gill Sans MT" w:hAnsi="Gill Sans MT"/>
          <w:u w:val="single"/>
        </w:rPr>
        <w:t xml:space="preserve">Conclusion </w:t>
      </w:r>
      <w:r>
        <w:rPr>
          <w:rFonts w:ascii="Gill Sans MT" w:hAnsi="Gill Sans MT"/>
        </w:rPr>
        <w:br/>
      </w:r>
    </w:p>
    <w:p w14:paraId="22F45735" w14:textId="439D0C14" w:rsidR="00C57615" w:rsidRPr="00C57615" w:rsidRDefault="00C57615" w:rsidP="00C57615">
      <w:pPr>
        <w:pStyle w:val="ListParagraph"/>
        <w:numPr>
          <w:ilvl w:val="0"/>
          <w:numId w:val="1"/>
        </w:numPr>
        <w:spacing w:line="360" w:lineRule="auto"/>
        <w:rPr>
          <w:rFonts w:ascii="Gill Sans MT" w:hAnsi="Gill Sans MT"/>
        </w:rPr>
      </w:pPr>
      <w:r>
        <w:rPr>
          <w:rFonts w:ascii="Gill Sans MT" w:hAnsi="Gill Sans MT"/>
          <w:lang w:val="en-US"/>
        </w:rPr>
        <w:t xml:space="preserve">For all of the above reasons the Inspector is respectfully requested to refuse planning permission and dismiss this appeal. </w:t>
      </w:r>
      <w:r>
        <w:rPr>
          <w:rFonts w:ascii="Gill Sans MT" w:hAnsi="Gill Sans MT"/>
          <w:lang w:val="en-US"/>
        </w:rPr>
        <w:br/>
      </w:r>
    </w:p>
    <w:p w14:paraId="71DE2D4D" w14:textId="7AE52D75" w:rsidR="00EA68CD" w:rsidRPr="00C57615" w:rsidRDefault="00EA68CD" w:rsidP="00C57615">
      <w:pPr>
        <w:spacing w:line="360" w:lineRule="auto"/>
        <w:ind w:left="360"/>
        <w:rPr>
          <w:rFonts w:ascii="Gill Sans MT" w:hAnsi="Gill Sans MT"/>
          <w:lang w:val="en-US"/>
        </w:rPr>
      </w:pPr>
    </w:p>
    <w:p w14:paraId="19114A66" w14:textId="77777777" w:rsidR="00EA68CD" w:rsidRDefault="00A95EFB" w:rsidP="00EA68CD">
      <w:pPr>
        <w:pStyle w:val="ListParagraph"/>
        <w:spacing w:line="360" w:lineRule="auto"/>
        <w:jc w:val="right"/>
        <w:rPr>
          <w:rFonts w:ascii="Gill Sans MT" w:hAnsi="Gill Sans MT"/>
          <w:b/>
          <w:lang w:val="en-US"/>
        </w:rPr>
      </w:pPr>
      <w:r w:rsidRPr="00EA68CD">
        <w:rPr>
          <w:rFonts w:ascii="Gill Sans MT" w:hAnsi="Gill Sans MT"/>
          <w:b/>
          <w:lang w:val="en-US"/>
        </w:rPr>
        <w:t>Satnam Choongh</w:t>
      </w:r>
    </w:p>
    <w:p w14:paraId="5F711170" w14:textId="02552FA4" w:rsidR="00A95EFB" w:rsidRPr="00EA68CD" w:rsidRDefault="00A95EFB" w:rsidP="00EA68CD">
      <w:pPr>
        <w:pStyle w:val="ListParagraph"/>
        <w:spacing w:line="360" w:lineRule="auto"/>
        <w:jc w:val="right"/>
        <w:rPr>
          <w:rFonts w:ascii="Gill Sans MT" w:hAnsi="Gill Sans MT"/>
        </w:rPr>
      </w:pPr>
      <w:r w:rsidRPr="005D0469">
        <w:rPr>
          <w:rFonts w:ascii="Gill Sans MT" w:hAnsi="Gill Sans MT"/>
          <w:lang w:val="en-US"/>
        </w:rPr>
        <w:t>Number 5 Chambers</w:t>
      </w:r>
    </w:p>
    <w:p w14:paraId="0FB6DDC5" w14:textId="77777777" w:rsidR="00A95EFB" w:rsidRPr="005D0469" w:rsidRDefault="00A95EFB" w:rsidP="00A95EFB">
      <w:pPr>
        <w:pStyle w:val="ListParagraph"/>
        <w:jc w:val="right"/>
        <w:rPr>
          <w:rFonts w:ascii="Gill Sans MT" w:hAnsi="Gill Sans MT"/>
          <w:lang w:val="en-US"/>
        </w:rPr>
      </w:pPr>
    </w:p>
    <w:p w14:paraId="3E5CD316" w14:textId="644A33A4" w:rsidR="00851C4D" w:rsidRDefault="00C57615" w:rsidP="004E4BA8">
      <w:pPr>
        <w:jc w:val="right"/>
      </w:pPr>
      <w:r>
        <w:rPr>
          <w:rFonts w:ascii="Gill Sans MT" w:hAnsi="Gill Sans MT"/>
          <w:lang w:val="en-US"/>
        </w:rPr>
        <w:t xml:space="preserve">16 </w:t>
      </w:r>
      <w:r w:rsidR="002D4C7D">
        <w:rPr>
          <w:rFonts w:ascii="Gill Sans MT" w:hAnsi="Gill Sans MT"/>
          <w:lang w:val="en-US"/>
        </w:rPr>
        <w:t xml:space="preserve">August </w:t>
      </w:r>
      <w:r w:rsidR="00097A7C">
        <w:rPr>
          <w:rFonts w:ascii="Gill Sans MT" w:hAnsi="Gill Sans MT"/>
          <w:lang w:val="en-US"/>
        </w:rPr>
        <w:t>202</w:t>
      </w:r>
      <w:r w:rsidR="002D4C7D">
        <w:rPr>
          <w:rFonts w:ascii="Gill Sans MT" w:hAnsi="Gill Sans MT"/>
          <w:lang w:val="en-US"/>
        </w:rPr>
        <w:t>3</w:t>
      </w:r>
    </w:p>
    <w:sectPr w:rsidR="00851C4D" w:rsidSect="003868B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07C6" w14:textId="77777777" w:rsidR="006D4326" w:rsidRDefault="006D4326" w:rsidP="00AB6D3A">
      <w:r>
        <w:separator/>
      </w:r>
    </w:p>
  </w:endnote>
  <w:endnote w:type="continuationSeparator" w:id="0">
    <w:p w14:paraId="723F9D4B" w14:textId="77777777" w:rsidR="006D4326" w:rsidRDefault="006D4326" w:rsidP="00AB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C7E3" w14:textId="77777777" w:rsidR="00AB6D3A" w:rsidRDefault="00AB6D3A" w:rsidP="00126A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C77E8" w14:textId="77777777" w:rsidR="00AB6D3A" w:rsidRDefault="00AB6D3A" w:rsidP="00AB6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A293" w14:textId="77777777" w:rsidR="00AB6D3A" w:rsidRDefault="00AB6D3A" w:rsidP="00126A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4C3">
      <w:rPr>
        <w:rStyle w:val="PageNumber"/>
        <w:noProof/>
      </w:rPr>
      <w:t>1</w:t>
    </w:r>
    <w:r>
      <w:rPr>
        <w:rStyle w:val="PageNumber"/>
      </w:rPr>
      <w:fldChar w:fldCharType="end"/>
    </w:r>
  </w:p>
  <w:p w14:paraId="3028C65D" w14:textId="77777777" w:rsidR="00AB6D3A" w:rsidRDefault="00AB6D3A" w:rsidP="00AB6D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6D30" w14:textId="77777777" w:rsidR="006D4326" w:rsidRDefault="006D4326" w:rsidP="00AB6D3A">
      <w:r>
        <w:separator/>
      </w:r>
    </w:p>
  </w:footnote>
  <w:footnote w:type="continuationSeparator" w:id="0">
    <w:p w14:paraId="5374CA3D" w14:textId="77777777" w:rsidR="006D4326" w:rsidRDefault="006D4326" w:rsidP="00AB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F55D0"/>
    <w:multiLevelType w:val="hybridMultilevel"/>
    <w:tmpl w:val="B48AC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4716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FB"/>
    <w:rsid w:val="00005D32"/>
    <w:rsid w:val="000103F0"/>
    <w:rsid w:val="0003704C"/>
    <w:rsid w:val="00046785"/>
    <w:rsid w:val="00046A1B"/>
    <w:rsid w:val="00051106"/>
    <w:rsid w:val="00063C14"/>
    <w:rsid w:val="00072BBF"/>
    <w:rsid w:val="000739CC"/>
    <w:rsid w:val="00074974"/>
    <w:rsid w:val="00091C63"/>
    <w:rsid w:val="00097A7C"/>
    <w:rsid w:val="000D231C"/>
    <w:rsid w:val="000E320C"/>
    <w:rsid w:val="00100CAD"/>
    <w:rsid w:val="001047A9"/>
    <w:rsid w:val="0010776B"/>
    <w:rsid w:val="00117B69"/>
    <w:rsid w:val="00131848"/>
    <w:rsid w:val="001348D2"/>
    <w:rsid w:val="001454E3"/>
    <w:rsid w:val="001827C3"/>
    <w:rsid w:val="00197EC4"/>
    <w:rsid w:val="001A1248"/>
    <w:rsid w:val="001A4DF7"/>
    <w:rsid w:val="002057DD"/>
    <w:rsid w:val="002225C1"/>
    <w:rsid w:val="002A353B"/>
    <w:rsid w:val="002B256D"/>
    <w:rsid w:val="002B6134"/>
    <w:rsid w:val="002C58ED"/>
    <w:rsid w:val="002C750C"/>
    <w:rsid w:val="002D4C7D"/>
    <w:rsid w:val="002D6F35"/>
    <w:rsid w:val="002F06B5"/>
    <w:rsid w:val="00305384"/>
    <w:rsid w:val="0033156C"/>
    <w:rsid w:val="00343DD9"/>
    <w:rsid w:val="00345CCC"/>
    <w:rsid w:val="00364ECA"/>
    <w:rsid w:val="003E0CC1"/>
    <w:rsid w:val="003E15E2"/>
    <w:rsid w:val="003E4BED"/>
    <w:rsid w:val="003F2557"/>
    <w:rsid w:val="004132AA"/>
    <w:rsid w:val="00426A38"/>
    <w:rsid w:val="004441FE"/>
    <w:rsid w:val="004A0447"/>
    <w:rsid w:val="004A6243"/>
    <w:rsid w:val="004C5CF9"/>
    <w:rsid w:val="004C763F"/>
    <w:rsid w:val="004D2B43"/>
    <w:rsid w:val="004E4BA8"/>
    <w:rsid w:val="00523CE2"/>
    <w:rsid w:val="005334FA"/>
    <w:rsid w:val="005403BE"/>
    <w:rsid w:val="00541E0F"/>
    <w:rsid w:val="005617FC"/>
    <w:rsid w:val="00587602"/>
    <w:rsid w:val="005E3832"/>
    <w:rsid w:val="005F1157"/>
    <w:rsid w:val="005F28E2"/>
    <w:rsid w:val="005F6219"/>
    <w:rsid w:val="00630B96"/>
    <w:rsid w:val="00641CD6"/>
    <w:rsid w:val="00645DE6"/>
    <w:rsid w:val="00666206"/>
    <w:rsid w:val="006A197B"/>
    <w:rsid w:val="006D4326"/>
    <w:rsid w:val="006E1137"/>
    <w:rsid w:val="006F50E2"/>
    <w:rsid w:val="007015A1"/>
    <w:rsid w:val="00736CC9"/>
    <w:rsid w:val="00755788"/>
    <w:rsid w:val="00760D9D"/>
    <w:rsid w:val="00760EA9"/>
    <w:rsid w:val="007736A0"/>
    <w:rsid w:val="007B429E"/>
    <w:rsid w:val="007C17C3"/>
    <w:rsid w:val="007E0189"/>
    <w:rsid w:val="007E0B24"/>
    <w:rsid w:val="00803637"/>
    <w:rsid w:val="00824D6E"/>
    <w:rsid w:val="008277F1"/>
    <w:rsid w:val="00851C4D"/>
    <w:rsid w:val="008D63B7"/>
    <w:rsid w:val="008D7293"/>
    <w:rsid w:val="0092406C"/>
    <w:rsid w:val="009332CB"/>
    <w:rsid w:val="0093375D"/>
    <w:rsid w:val="00937822"/>
    <w:rsid w:val="00957A6B"/>
    <w:rsid w:val="0099592C"/>
    <w:rsid w:val="009B3B8A"/>
    <w:rsid w:val="009B4B4D"/>
    <w:rsid w:val="009B4B6F"/>
    <w:rsid w:val="009D3FFD"/>
    <w:rsid w:val="009F6551"/>
    <w:rsid w:val="00A00E53"/>
    <w:rsid w:val="00A50235"/>
    <w:rsid w:val="00A55387"/>
    <w:rsid w:val="00A72C49"/>
    <w:rsid w:val="00A72E5C"/>
    <w:rsid w:val="00A92895"/>
    <w:rsid w:val="00A95EFB"/>
    <w:rsid w:val="00AB370C"/>
    <w:rsid w:val="00AB6D3A"/>
    <w:rsid w:val="00AC27E3"/>
    <w:rsid w:val="00AC28F6"/>
    <w:rsid w:val="00AF7E74"/>
    <w:rsid w:val="00B24A93"/>
    <w:rsid w:val="00B25356"/>
    <w:rsid w:val="00B26746"/>
    <w:rsid w:val="00B448CE"/>
    <w:rsid w:val="00B453C1"/>
    <w:rsid w:val="00B46490"/>
    <w:rsid w:val="00B5087D"/>
    <w:rsid w:val="00B52587"/>
    <w:rsid w:val="00B764C3"/>
    <w:rsid w:val="00B76B4F"/>
    <w:rsid w:val="00B77799"/>
    <w:rsid w:val="00BB6ED4"/>
    <w:rsid w:val="00BC1847"/>
    <w:rsid w:val="00BD08C2"/>
    <w:rsid w:val="00C06A05"/>
    <w:rsid w:val="00C15537"/>
    <w:rsid w:val="00C21450"/>
    <w:rsid w:val="00C55176"/>
    <w:rsid w:val="00C57615"/>
    <w:rsid w:val="00C6104B"/>
    <w:rsid w:val="00C66077"/>
    <w:rsid w:val="00C979DB"/>
    <w:rsid w:val="00C97FCD"/>
    <w:rsid w:val="00CA0955"/>
    <w:rsid w:val="00CE017D"/>
    <w:rsid w:val="00D01F44"/>
    <w:rsid w:val="00D23B63"/>
    <w:rsid w:val="00D447D0"/>
    <w:rsid w:val="00D63992"/>
    <w:rsid w:val="00D80672"/>
    <w:rsid w:val="00DB48E9"/>
    <w:rsid w:val="00DC5B08"/>
    <w:rsid w:val="00DC6A00"/>
    <w:rsid w:val="00DF1B55"/>
    <w:rsid w:val="00DF6AC6"/>
    <w:rsid w:val="00E0370E"/>
    <w:rsid w:val="00E1686E"/>
    <w:rsid w:val="00E44D21"/>
    <w:rsid w:val="00E53867"/>
    <w:rsid w:val="00E6745C"/>
    <w:rsid w:val="00E83A9B"/>
    <w:rsid w:val="00E86B9F"/>
    <w:rsid w:val="00EA68CD"/>
    <w:rsid w:val="00EC5239"/>
    <w:rsid w:val="00EE4AAA"/>
    <w:rsid w:val="00F23FB2"/>
    <w:rsid w:val="00F462EA"/>
    <w:rsid w:val="00F56878"/>
    <w:rsid w:val="00F849FF"/>
    <w:rsid w:val="00FB71A8"/>
    <w:rsid w:val="00FD1603"/>
    <w:rsid w:val="00FF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67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5EFB"/>
    <w:rPr>
      <w:rFonts w:ascii="Times New Roman" w:eastAsia="SimSu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EFB"/>
    <w:pPr>
      <w:ind w:left="720"/>
      <w:contextualSpacing/>
    </w:pPr>
  </w:style>
  <w:style w:type="paragraph" w:styleId="Footer">
    <w:name w:val="footer"/>
    <w:basedOn w:val="Normal"/>
    <w:link w:val="FooterChar"/>
    <w:uiPriority w:val="99"/>
    <w:unhideWhenUsed/>
    <w:rsid w:val="00AB6D3A"/>
    <w:pPr>
      <w:tabs>
        <w:tab w:val="center" w:pos="4513"/>
        <w:tab w:val="right" w:pos="9026"/>
      </w:tabs>
    </w:pPr>
  </w:style>
  <w:style w:type="character" w:customStyle="1" w:styleId="FooterChar">
    <w:name w:val="Footer Char"/>
    <w:basedOn w:val="DefaultParagraphFont"/>
    <w:link w:val="Footer"/>
    <w:uiPriority w:val="99"/>
    <w:rsid w:val="00AB6D3A"/>
    <w:rPr>
      <w:rFonts w:ascii="Times New Roman" w:eastAsia="SimSun" w:hAnsi="Times New Roman" w:cs="Times New Roman"/>
      <w:lang w:val="en-GB" w:eastAsia="zh-CN"/>
    </w:rPr>
  </w:style>
  <w:style w:type="character" w:styleId="PageNumber">
    <w:name w:val="page number"/>
    <w:basedOn w:val="DefaultParagraphFont"/>
    <w:uiPriority w:val="99"/>
    <w:semiHidden/>
    <w:unhideWhenUsed/>
    <w:rsid w:val="00AB6D3A"/>
  </w:style>
  <w:style w:type="paragraph" w:styleId="NormalWeb">
    <w:name w:val="Normal (Web)"/>
    <w:basedOn w:val="Normal"/>
    <w:uiPriority w:val="99"/>
    <w:unhideWhenUsed/>
    <w:rsid w:val="009B4B4D"/>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7736A0"/>
    <w:rPr>
      <w:sz w:val="18"/>
      <w:szCs w:val="18"/>
    </w:rPr>
  </w:style>
  <w:style w:type="character" w:customStyle="1" w:styleId="BalloonTextChar">
    <w:name w:val="Balloon Text Char"/>
    <w:basedOn w:val="DefaultParagraphFont"/>
    <w:link w:val="BalloonText"/>
    <w:uiPriority w:val="99"/>
    <w:semiHidden/>
    <w:rsid w:val="007736A0"/>
    <w:rPr>
      <w:rFonts w:ascii="Times New Roman" w:eastAsia="SimSun" w:hAnsi="Times New Roman" w:cs="Times New Roman"/>
      <w:sz w:val="18"/>
      <w:szCs w:val="18"/>
      <w:lang w:val="en-GB" w:eastAsia="zh-CN"/>
    </w:rPr>
  </w:style>
  <w:style w:type="paragraph" w:styleId="Revision">
    <w:name w:val="Revision"/>
    <w:hidden/>
    <w:uiPriority w:val="99"/>
    <w:semiHidden/>
    <w:rsid w:val="009F6551"/>
    <w:rPr>
      <w:rFonts w:ascii="Times New Roman" w:eastAsia="SimSu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73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3515</Words>
  <Characters>20041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Satnam Choongh</cp:lastModifiedBy>
  <cp:revision>4</cp:revision>
  <dcterms:created xsi:type="dcterms:W3CDTF">2023-08-16T07:19:00Z</dcterms:created>
  <dcterms:modified xsi:type="dcterms:W3CDTF">2023-08-16T07:47:00Z</dcterms:modified>
</cp:coreProperties>
</file>